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14"/>
        <w:gridCol w:w="2625"/>
        <w:gridCol w:w="1875"/>
        <w:gridCol w:w="2753"/>
      </w:tblGrid>
      <w:tr w14:paraId="3362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528" w:hRule="atLeast"/>
        </w:trPr>
        <w:tc>
          <w:tcPr>
            <w:tcW w:w="2314" w:type="dxa"/>
            <w:shd w:val="clear" w:color="auto" w:fill="F1F1F1" w:themeFill="background1" w:themeFillShade="F2"/>
          </w:tcPr>
          <w:p w14:paraId="448B70F3">
            <w:pPr>
              <w:pStyle w:val="3"/>
              <w:rPr>
                <w:sz w:val="24"/>
                <w:szCs w:val="24"/>
              </w:rPr>
            </w:pPr>
            <w:sdt>
              <w:sdtPr>
                <w:rPr>
                  <w:sz w:val="24"/>
                  <w:szCs w:val="24"/>
                </w:rPr>
                <w:alias w:val="Job Title:"/>
                <w:tag w:val="Job Title:"/>
                <w:id w:val="900328234"/>
                <w:placeholder>
                  <w:docPart w:val="F836B89E7E1748E6AAE5975D50F759EE"/>
                </w:placeholder>
                <w:temporary/>
                <w:showingPlcHdr/>
                <w15:appearance w15:val="hidden"/>
              </w:sdtPr>
              <w:sdtEndPr>
                <w:rPr>
                  <w:sz w:val="24"/>
                  <w:szCs w:val="24"/>
                </w:rPr>
              </w:sdtEndPr>
              <w:sdtContent>
                <w:r>
                  <w:rPr>
                    <w:sz w:val="24"/>
                    <w:szCs w:val="24"/>
                  </w:rPr>
                  <w:t>Job Title</w:t>
                </w:r>
              </w:sdtContent>
            </w:sdt>
            <w:r>
              <w:rPr>
                <w:sz w:val="24"/>
                <w:szCs w:val="24"/>
              </w:rPr>
              <w:t>:</w:t>
            </w:r>
          </w:p>
        </w:tc>
        <w:tc>
          <w:tcPr>
            <w:tcW w:w="2625" w:type="dxa"/>
          </w:tcPr>
          <w:p w14:paraId="5070858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IN-IDOH-Public Health </w:t>
            </w:r>
          </w:p>
          <w:p w14:paraId="6B7B306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Preparedness Field </w:t>
            </w:r>
          </w:p>
          <w:p w14:paraId="1173B737">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Coordinator District 4</w:t>
            </w:r>
          </w:p>
        </w:tc>
        <w:tc>
          <w:tcPr>
            <w:tcW w:w="1875" w:type="dxa"/>
            <w:shd w:val="clear" w:color="auto" w:fill="F1F1F1" w:themeFill="background1" w:themeFillShade="F2"/>
          </w:tcPr>
          <w:p w14:paraId="5B82FE64">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Region  </w:t>
            </w:r>
            <w:r>
              <w:rPr>
                <w:rFonts w:hint="default" w:asciiTheme="minorAscii" w:hAnsiTheme="minorAscii"/>
                <w:b/>
                <w:bCs/>
                <w:sz w:val="24"/>
                <w:szCs w:val="24"/>
              </w:rPr>
              <w:t>:</w:t>
            </w:r>
          </w:p>
        </w:tc>
        <w:tc>
          <w:tcPr>
            <w:tcW w:w="2753" w:type="dxa"/>
          </w:tcPr>
          <w:p w14:paraId="7A5E2DE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State of Indiana</w:t>
            </w:r>
          </w:p>
        </w:tc>
      </w:tr>
      <w:tr w14:paraId="79F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14" w:type="dxa"/>
            <w:shd w:val="clear" w:color="auto" w:fill="F1F1F1" w:themeFill="background1" w:themeFillShade="F2"/>
          </w:tcPr>
          <w:p w14:paraId="4312EF25">
            <w:pPr>
              <w:pStyle w:val="3"/>
              <w:rPr>
                <w:rFonts w:hint="default"/>
                <w:sz w:val="24"/>
                <w:szCs w:val="24"/>
                <w:lang w:val="en-IN"/>
              </w:rPr>
            </w:pPr>
            <w:sdt>
              <w:sdtPr>
                <w:rPr>
                  <w:sz w:val="24"/>
                  <w:szCs w:val="24"/>
                </w:rPr>
                <w:alias w:val="Position Type:"/>
                <w:tag w:val="Position Type:"/>
                <w:id w:val="-538278110"/>
                <w:placeholder>
                  <w:docPart w:val="{ea76a0be-7975-47b5-8ac9-ac9e3450f776}"/>
                </w:placeholder>
                <w:temporary/>
                <w:showingPlcHdr/>
                <w15:appearance w15:val="hidden"/>
              </w:sdtPr>
              <w:sdtEndPr>
                <w:rPr>
                  <w:sz w:val="24"/>
                  <w:szCs w:val="24"/>
                </w:rPr>
              </w:sdtEndPr>
              <w:sdtContent>
                <w:r>
                  <w:rPr>
                    <w:sz w:val="24"/>
                    <w:szCs w:val="24"/>
                  </w:rPr>
                  <w:t>Position Type</w:t>
                </w:r>
              </w:sdtContent>
            </w:sdt>
            <w:r>
              <w:rPr>
                <w:sz w:val="24"/>
                <w:szCs w:val="24"/>
              </w:rPr>
              <w:t>:</w:t>
            </w:r>
          </w:p>
        </w:tc>
        <w:tc>
          <w:tcPr>
            <w:tcW w:w="2625" w:type="dxa"/>
          </w:tcPr>
          <w:p w14:paraId="5BD9EA37">
            <w:pPr>
              <w:bidi w:val="0"/>
              <w:rPr>
                <w:rFonts w:hint="default" w:asciiTheme="minorAscii" w:hAnsiTheme="minorAscii"/>
                <w:sz w:val="24"/>
                <w:szCs w:val="24"/>
              </w:rPr>
            </w:pPr>
            <w:r>
              <w:rPr>
                <w:rFonts w:hint="default" w:asciiTheme="minorAscii" w:hAnsiTheme="minorAscii"/>
                <w:sz w:val="24"/>
                <w:szCs w:val="24"/>
              </w:rPr>
              <w:t>Contract</w:t>
            </w:r>
          </w:p>
        </w:tc>
        <w:tc>
          <w:tcPr>
            <w:tcW w:w="1875" w:type="dxa"/>
            <w:shd w:val="clear" w:color="auto" w:fill="F1F1F1" w:themeFill="background1" w:themeFillShade="F2"/>
          </w:tcPr>
          <w:p w14:paraId="4E40D0DA">
            <w:pPr>
              <w:pStyle w:val="3"/>
              <w:rPr>
                <w:rFonts w:hint="default" w:asciiTheme="minorAscii" w:hAnsiTheme="minorAscii"/>
                <w:sz w:val="24"/>
                <w:szCs w:val="24"/>
              </w:rPr>
            </w:pPr>
            <w:sdt>
              <w:sdtPr>
                <w:rPr>
                  <w:rFonts w:hint="default" w:asciiTheme="minorAscii" w:hAnsiTheme="minorAscii"/>
                  <w:sz w:val="24"/>
                  <w:szCs w:val="24"/>
                </w:rPr>
                <w:alias w:val="Job Code/ Req#:"/>
                <w:tag w:val="Job Code/ Req#:"/>
                <w:id w:val="2006166042"/>
                <w:placeholder>
                  <w:docPart w:val="E0A4C229F0784AB08712B8A6A6FE5340"/>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Code/ Req#</w:t>
                </w:r>
              </w:sdtContent>
            </w:sdt>
            <w:r>
              <w:rPr>
                <w:rFonts w:hint="default" w:asciiTheme="minorAscii" w:hAnsiTheme="minorAscii"/>
                <w:sz w:val="24"/>
                <w:szCs w:val="24"/>
              </w:rPr>
              <w:t>:</w:t>
            </w:r>
          </w:p>
        </w:tc>
        <w:tc>
          <w:tcPr>
            <w:tcW w:w="2753" w:type="dxa"/>
          </w:tcPr>
          <w:p w14:paraId="33B047BC">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IN" w:eastAsia="zh-CN" w:bidi="ar"/>
              </w:rPr>
              <w:t>754828</w:t>
            </w:r>
          </w:p>
        </w:tc>
      </w:tr>
      <w:tr w14:paraId="53F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111" w:hRule="atLeast"/>
        </w:trPr>
        <w:tc>
          <w:tcPr>
            <w:tcW w:w="2314" w:type="dxa"/>
            <w:shd w:val="clear" w:color="auto" w:fill="F1F1F1" w:themeFill="background1" w:themeFillShade="F2"/>
          </w:tcPr>
          <w:p w14:paraId="24ED2880">
            <w:pPr>
              <w:pStyle w:val="3"/>
              <w:rPr>
                <w:sz w:val="24"/>
                <w:szCs w:val="24"/>
              </w:rPr>
            </w:pPr>
            <w:sdt>
              <w:sdtPr>
                <w:rPr>
                  <w:sz w:val="24"/>
                  <w:szCs w:val="24"/>
                </w:rPr>
                <w:alias w:val="Location:"/>
                <w:tag w:val="Location:"/>
                <w:id w:val="784848460"/>
                <w:placeholder>
                  <w:docPart w:val="0DA25137067A46338A00D0A852924022"/>
                </w:placeholder>
                <w:temporary/>
                <w:showingPlcHdr/>
                <w15:appearance w15:val="hidden"/>
              </w:sdtPr>
              <w:sdtEndPr>
                <w:rPr>
                  <w:sz w:val="24"/>
                  <w:szCs w:val="24"/>
                </w:rPr>
              </w:sdtEndPr>
              <w:sdtContent>
                <w:r>
                  <w:rPr>
                    <w:sz w:val="24"/>
                    <w:szCs w:val="24"/>
                  </w:rPr>
                  <w:t>Location</w:t>
                </w:r>
              </w:sdtContent>
            </w:sdt>
            <w:r>
              <w:rPr>
                <w:sz w:val="24"/>
                <w:szCs w:val="24"/>
              </w:rPr>
              <w:t>:</w:t>
            </w:r>
          </w:p>
        </w:tc>
        <w:tc>
          <w:tcPr>
            <w:tcW w:w="2625" w:type="dxa"/>
          </w:tcPr>
          <w:p w14:paraId="220E284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Hybrid</w:t>
            </w:r>
          </w:p>
          <w:p w14:paraId="37132B4A">
            <w:pPr>
              <w:bidi w:val="0"/>
              <w:rPr>
                <w:rFonts w:hint="default" w:asciiTheme="minorAscii" w:hAnsiTheme="minorAscii"/>
                <w:b/>
                <w:bCs/>
                <w:sz w:val="24"/>
                <w:szCs w:val="24"/>
                <w:lang w:val="en-US" w:eastAsia="zh-CN"/>
              </w:rPr>
            </w:pPr>
            <w:r>
              <w:rPr>
                <w:rFonts w:hint="default" w:asciiTheme="minorAscii" w:hAnsiTheme="minorAscii"/>
                <w:b/>
                <w:bCs/>
                <w:sz w:val="24"/>
                <w:szCs w:val="24"/>
                <w:lang w:val="en-US" w:eastAsia="zh-CN"/>
              </w:rPr>
              <w:t>Worksite Address:</w:t>
            </w:r>
          </w:p>
          <w:p w14:paraId="50A14BF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Remote w/travel w/in district 4 for meetings and assistance.</w:t>
            </w:r>
          </w:p>
        </w:tc>
        <w:tc>
          <w:tcPr>
            <w:tcW w:w="1875" w:type="dxa"/>
            <w:shd w:val="clear" w:color="auto" w:fill="F1F1F1" w:themeFill="background1" w:themeFillShade="F2"/>
          </w:tcPr>
          <w:p w14:paraId="5A7BAB71">
            <w:pPr>
              <w:bidi w:val="0"/>
              <w:rPr>
                <w:rFonts w:hint="default" w:asciiTheme="minorAscii" w:hAnsiTheme="minorAscii"/>
                <w:b/>
                <w:bCs/>
                <w:sz w:val="24"/>
                <w:szCs w:val="24"/>
              </w:rPr>
            </w:pPr>
            <w:r>
              <w:rPr>
                <w:rFonts w:hint="default" w:asciiTheme="minorAscii" w:hAnsiTheme="minorAscii"/>
                <w:b/>
                <w:bCs/>
                <w:sz w:val="24"/>
                <w:szCs w:val="24"/>
                <w:lang w:val="en-US" w:eastAsia="zh-CN"/>
              </w:rPr>
              <w:t>Agency</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 xml:space="preserve">Interview </w:t>
            </w:r>
          </w:p>
          <w:p w14:paraId="69783B04">
            <w:pPr>
              <w:bidi w:val="0"/>
              <w:rPr>
                <w:rFonts w:hint="default" w:asciiTheme="minorAscii" w:hAnsiTheme="minorAscii"/>
                <w:b/>
                <w:bCs/>
                <w:sz w:val="24"/>
                <w:szCs w:val="24"/>
              </w:rPr>
            </w:pPr>
            <w:r>
              <w:rPr>
                <w:rFonts w:hint="default" w:asciiTheme="minorAscii" w:hAnsiTheme="minorAscii"/>
                <w:b/>
                <w:bCs/>
                <w:sz w:val="24"/>
                <w:szCs w:val="24"/>
                <w:lang w:val="en-US" w:eastAsia="zh-CN"/>
              </w:rPr>
              <w:t>Type:</w:t>
            </w:r>
          </w:p>
          <w:p w14:paraId="006AD12E">
            <w:pPr>
              <w:pStyle w:val="3"/>
              <w:rPr>
                <w:rFonts w:hint="default" w:asciiTheme="minorAscii" w:hAnsiTheme="minorAscii"/>
                <w:sz w:val="24"/>
                <w:szCs w:val="24"/>
              </w:rPr>
            </w:pPr>
          </w:p>
        </w:tc>
        <w:tc>
          <w:tcPr>
            <w:tcW w:w="2753" w:type="dxa"/>
          </w:tcPr>
          <w:p w14:paraId="4F07A71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Webcam only</w:t>
            </w:r>
          </w:p>
          <w:p w14:paraId="4338B87D">
            <w:pPr>
              <w:bidi w:val="0"/>
              <w:rPr>
                <w:rFonts w:hint="default" w:asciiTheme="minorAscii" w:hAnsiTheme="minorAscii"/>
                <w:sz w:val="24"/>
                <w:szCs w:val="24"/>
              </w:rPr>
            </w:pPr>
          </w:p>
          <w:p w14:paraId="70DF1B41">
            <w:pPr>
              <w:bidi w:val="0"/>
              <w:rPr>
                <w:rFonts w:hint="default" w:asciiTheme="minorAscii" w:hAnsiTheme="minorAscii"/>
                <w:sz w:val="24"/>
                <w:szCs w:val="24"/>
              </w:rPr>
            </w:pPr>
          </w:p>
        </w:tc>
      </w:tr>
      <w:tr w14:paraId="38E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14" w:type="dxa"/>
            <w:shd w:val="clear" w:color="auto" w:fill="F1F1F1" w:themeFill="background1" w:themeFillShade="F2"/>
          </w:tcPr>
          <w:p w14:paraId="1FBA3B38">
            <w:pPr>
              <w:bidi w:val="0"/>
              <w:rPr>
                <w:rFonts w:hint="default"/>
                <w:b/>
                <w:bCs/>
                <w:sz w:val="24"/>
                <w:szCs w:val="24"/>
                <w:lang w:val="en-IN"/>
              </w:rPr>
            </w:pPr>
            <w:r>
              <w:rPr>
                <w:b/>
                <w:bCs/>
                <w:sz w:val="24"/>
                <w:szCs w:val="24"/>
                <w:lang w:val="en-US" w:eastAsia="zh-CN"/>
              </w:rPr>
              <w:t>Req. Status:</w:t>
            </w:r>
          </w:p>
        </w:tc>
        <w:tc>
          <w:tcPr>
            <w:tcW w:w="2625" w:type="dxa"/>
          </w:tcPr>
          <w:p w14:paraId="10ED448C">
            <w:pPr>
              <w:bidi w:val="0"/>
              <w:rPr>
                <w:rFonts w:hint="default" w:asciiTheme="minorAscii" w:hAnsiTheme="minorAscii"/>
                <w:sz w:val="24"/>
                <w:szCs w:val="24"/>
                <w:lang w:val="en-IN"/>
              </w:rPr>
            </w:pPr>
            <w:r>
              <w:rPr>
                <w:rFonts w:hint="default" w:asciiTheme="minorAscii" w:hAnsiTheme="minorAscii"/>
                <w:sz w:val="24"/>
                <w:szCs w:val="24"/>
                <w:lang w:val="en-IN"/>
              </w:rPr>
              <w:t>Open</w:t>
            </w:r>
          </w:p>
        </w:tc>
        <w:tc>
          <w:tcPr>
            <w:tcW w:w="1875" w:type="dxa"/>
            <w:shd w:val="clear" w:color="auto" w:fill="F1F1F1" w:themeFill="background1" w:themeFillShade="F2"/>
          </w:tcPr>
          <w:p w14:paraId="3948C1F6">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Start Date: </w:t>
            </w:r>
          </w:p>
        </w:tc>
        <w:tc>
          <w:tcPr>
            <w:tcW w:w="2753" w:type="dxa"/>
          </w:tcPr>
          <w:p w14:paraId="54518319">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01/02/2025</w:t>
            </w:r>
          </w:p>
        </w:tc>
      </w:tr>
      <w:tr w14:paraId="4DE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14" w:type="dxa"/>
            <w:shd w:val="clear" w:color="auto" w:fill="F1F1F1" w:themeFill="background1" w:themeFillShade="F2"/>
          </w:tcPr>
          <w:p w14:paraId="36B245E2">
            <w:pPr>
              <w:pStyle w:val="3"/>
              <w:rPr>
                <w:rFonts w:hint="default"/>
                <w:b/>
                <w:bCs/>
                <w:sz w:val="24"/>
                <w:szCs w:val="24"/>
                <w:lang w:val="en-IN"/>
              </w:rPr>
            </w:pPr>
            <w:r>
              <w:rPr>
                <w:rFonts w:hint="default"/>
                <w:b/>
                <w:bCs/>
                <w:sz w:val="24"/>
                <w:szCs w:val="24"/>
                <w:lang w:val="en-IN"/>
              </w:rPr>
              <w:t>Expenses Allowed</w:t>
            </w:r>
          </w:p>
        </w:tc>
        <w:tc>
          <w:tcPr>
            <w:tcW w:w="2625" w:type="dxa"/>
          </w:tcPr>
          <w:p w14:paraId="44348325">
            <w:pPr>
              <w:bidi w:val="0"/>
              <w:rPr>
                <w:rFonts w:hint="default" w:asciiTheme="minorAscii" w:hAnsiTheme="minorAscii"/>
                <w:sz w:val="24"/>
                <w:szCs w:val="24"/>
                <w:lang w:val="en-IN"/>
              </w:rPr>
            </w:pPr>
            <w:r>
              <w:rPr>
                <w:rFonts w:hint="default" w:asciiTheme="minorAscii" w:hAnsiTheme="minorAscii"/>
                <w:sz w:val="24"/>
                <w:szCs w:val="24"/>
                <w:lang w:val="en-IN"/>
              </w:rPr>
              <w:t>Yes</w:t>
            </w:r>
          </w:p>
        </w:tc>
        <w:tc>
          <w:tcPr>
            <w:tcW w:w="1875" w:type="dxa"/>
            <w:shd w:val="clear" w:color="auto" w:fill="F1F1F1" w:themeFill="background1" w:themeFillShade="F2"/>
          </w:tcPr>
          <w:p w14:paraId="2FC3CD83">
            <w:pPr>
              <w:keepNext w:val="0"/>
              <w:keepLines w:val="0"/>
              <w:widowControl/>
              <w:suppressLineNumbers w:val="0"/>
              <w:jc w:val="left"/>
              <w:rPr>
                <w:rFonts w:hint="default" w:asciiTheme="minorAscii" w:hAnsiTheme="minorAscii"/>
                <w:b/>
                <w:bCs/>
                <w:sz w:val="24"/>
                <w:szCs w:val="24"/>
              </w:rPr>
            </w:pPr>
            <w:r>
              <w:rPr>
                <w:rFonts w:hint="default" w:eastAsia="Arial-BoldMT" w:cs="Calibri" w:asciiTheme="minorAscii" w:hAnsiTheme="minorAscii"/>
                <w:b/>
                <w:bCs/>
                <w:color w:val="666666"/>
                <w:kern w:val="0"/>
                <w:sz w:val="24"/>
                <w:szCs w:val="24"/>
                <w:lang w:val="en-US" w:eastAsia="zh-CN" w:bidi="ar"/>
              </w:rPr>
              <w:t>End Date:</w:t>
            </w:r>
            <w:r>
              <w:rPr>
                <w:rFonts w:hint="default" w:eastAsia="Arial-BoldMT" w:cs="Arial-BoldMT" w:asciiTheme="minorAscii" w:hAnsiTheme="minorAscii"/>
                <w:b/>
                <w:bCs/>
                <w:color w:val="666666"/>
                <w:kern w:val="0"/>
                <w:sz w:val="24"/>
                <w:szCs w:val="24"/>
                <w:lang w:val="en-US" w:eastAsia="zh-CN" w:bidi="ar"/>
              </w:rPr>
              <w:t xml:space="preserve"> </w:t>
            </w:r>
          </w:p>
        </w:tc>
        <w:tc>
          <w:tcPr>
            <w:tcW w:w="2753" w:type="dxa"/>
          </w:tcPr>
          <w:p w14:paraId="5A2116D3">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01/02/2026</w:t>
            </w:r>
          </w:p>
        </w:tc>
      </w:tr>
      <w:tr w14:paraId="317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14" w:type="dxa"/>
            <w:shd w:val="clear" w:color="auto" w:fill="F1F1F1" w:themeFill="background1" w:themeFillShade="F2"/>
          </w:tcPr>
          <w:p w14:paraId="09714503">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 xml:space="preserve">No.of Openings </w:t>
            </w:r>
          </w:p>
        </w:tc>
        <w:tc>
          <w:tcPr>
            <w:tcW w:w="2625" w:type="dxa"/>
          </w:tcPr>
          <w:p w14:paraId="2595D9CF">
            <w:pPr>
              <w:bidi w:val="0"/>
              <w:rPr>
                <w:rFonts w:hint="default" w:asciiTheme="minorAscii" w:hAnsiTheme="minorAscii"/>
                <w:sz w:val="24"/>
                <w:szCs w:val="24"/>
                <w:lang w:val="en-IN"/>
              </w:rPr>
            </w:pPr>
            <w:r>
              <w:rPr>
                <w:rFonts w:hint="default" w:asciiTheme="minorAscii" w:hAnsiTheme="minorAscii"/>
                <w:sz w:val="24"/>
                <w:szCs w:val="24"/>
                <w:lang w:val="en-IN"/>
              </w:rPr>
              <w:t>1</w:t>
            </w:r>
          </w:p>
        </w:tc>
        <w:tc>
          <w:tcPr>
            <w:tcW w:w="1875" w:type="dxa"/>
            <w:shd w:val="clear" w:color="auto" w:fill="F1F1F1" w:themeFill="background1" w:themeFillShade="F2"/>
          </w:tcPr>
          <w:p w14:paraId="161F5CC4">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No New Submittals After :</w:t>
            </w:r>
          </w:p>
        </w:tc>
        <w:tc>
          <w:tcPr>
            <w:tcW w:w="2753" w:type="dxa"/>
          </w:tcPr>
          <w:p w14:paraId="03C7A7D0">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01/10/2025</w:t>
            </w:r>
          </w:p>
        </w:tc>
      </w:tr>
      <w:tr w14:paraId="01A2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14" w:type="dxa"/>
            <w:shd w:val="clear" w:color="auto" w:fill="F1F1F1" w:themeFill="background1" w:themeFillShade="F2"/>
          </w:tcPr>
          <w:p w14:paraId="0E54DC09">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Max.Submmitals by Vendor Opening :</w:t>
            </w:r>
          </w:p>
        </w:tc>
        <w:tc>
          <w:tcPr>
            <w:tcW w:w="2625" w:type="dxa"/>
          </w:tcPr>
          <w:p w14:paraId="5E3F696A">
            <w:pPr>
              <w:bidi w:val="0"/>
              <w:rPr>
                <w:rFonts w:hint="default" w:asciiTheme="minorAscii" w:hAnsiTheme="minorAscii"/>
                <w:sz w:val="24"/>
                <w:szCs w:val="24"/>
                <w:lang w:val="en-IN"/>
              </w:rPr>
            </w:pPr>
            <w:r>
              <w:rPr>
                <w:rFonts w:hint="default" w:asciiTheme="minorAscii" w:hAnsiTheme="minorAscii"/>
                <w:sz w:val="24"/>
                <w:szCs w:val="24"/>
                <w:lang w:val="en-IN"/>
              </w:rPr>
              <w:t>2</w:t>
            </w:r>
          </w:p>
        </w:tc>
        <w:tc>
          <w:tcPr>
            <w:tcW w:w="1875" w:type="dxa"/>
            <w:shd w:val="clear" w:color="auto" w:fill="F1F1F1" w:themeFill="background1" w:themeFillShade="F2"/>
          </w:tcPr>
          <w:p w14:paraId="0AFF6AF0">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Send Resumes to :</w:t>
            </w:r>
          </w:p>
        </w:tc>
        <w:tc>
          <w:tcPr>
            <w:tcW w:w="2753" w:type="dxa"/>
          </w:tcPr>
          <w:p w14:paraId="4335E343">
            <w:pPr>
              <w:keepNext w:val="0"/>
              <w:keepLines w:val="0"/>
              <w:widowControl/>
              <w:suppressLineNumbers w:val="0"/>
              <w:jc w:val="left"/>
              <w:rPr>
                <w:rFonts w:hint="default" w:eastAsia="SimSun" w:asciiTheme="minorAscii" w:hAnsiTheme="minorAscii"/>
                <w:color w:val="000000"/>
                <w:kern w:val="0"/>
                <w:sz w:val="24"/>
                <w:szCs w:val="24"/>
                <w:lang w:val="en-US" w:eastAsia="zh-CN"/>
              </w:rPr>
            </w:pPr>
            <w:r>
              <w:rPr>
                <w:rFonts w:hint="default" w:eastAsia="SimSun" w:asciiTheme="minorAscii" w:hAnsiTheme="minorAscii"/>
                <w:color w:val="000000"/>
                <w:kern w:val="0"/>
                <w:sz w:val="24"/>
                <w:szCs w:val="24"/>
                <w:lang w:val="en-US" w:eastAsia="zh-CN"/>
              </w:rPr>
              <w:t>resumes@taurusbiz.com</w:t>
            </w:r>
          </w:p>
          <w:p w14:paraId="453B17C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r>
      <w:tr w14:paraId="4984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14" w:type="dxa"/>
            <w:shd w:val="clear" w:color="auto" w:fill="F1F1F1" w:themeFill="background1" w:themeFillShade="F2"/>
          </w:tcPr>
          <w:p w14:paraId="37DB5404">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Level/Salary Range :</w:t>
            </w:r>
          </w:p>
        </w:tc>
        <w:tc>
          <w:tcPr>
            <w:tcW w:w="2625" w:type="dxa"/>
          </w:tcPr>
          <w:p w14:paraId="65FABB2C">
            <w:pPr>
              <w:bidi w:val="0"/>
              <w:rPr>
                <w:rFonts w:hint="default" w:asciiTheme="minorAscii" w:hAnsiTheme="minorAscii"/>
                <w:sz w:val="24"/>
                <w:szCs w:val="24"/>
                <w:lang w:val="en-IN"/>
              </w:rPr>
            </w:pPr>
            <w:r>
              <w:rPr>
                <w:rFonts w:ascii="Calibri" w:hAnsi="Calibri" w:eastAsia="SimSun" w:cs="Calibri"/>
                <w:i w:val="0"/>
                <w:iCs w:val="0"/>
                <w:caps w:val="0"/>
                <w:color w:val="000000"/>
                <w:spacing w:val="0"/>
                <w:sz w:val="24"/>
                <w:szCs w:val="24"/>
                <w:shd w:val="clear" w:fill="FFFFFF"/>
              </w:rPr>
              <w:t>$24</w:t>
            </w:r>
            <w:bookmarkStart w:id="0" w:name="_GoBack"/>
            <w:bookmarkEnd w:id="0"/>
            <w:r>
              <w:rPr>
                <w:rFonts w:ascii="Calibri" w:hAnsi="Calibri" w:eastAsia="SimSun" w:cs="Calibri"/>
                <w:i w:val="0"/>
                <w:iCs w:val="0"/>
                <w:caps w:val="0"/>
                <w:color w:val="000000"/>
                <w:spacing w:val="0"/>
                <w:sz w:val="24"/>
                <w:szCs w:val="24"/>
                <w:shd w:val="clear" w:fill="FFFFFF"/>
              </w:rPr>
              <w:t>.75/hr on C2C</w:t>
            </w:r>
          </w:p>
        </w:tc>
        <w:tc>
          <w:tcPr>
            <w:tcW w:w="1875" w:type="dxa"/>
            <w:shd w:val="clear" w:color="auto" w:fill="F1F1F1" w:themeFill="background1" w:themeFillShade="F2"/>
          </w:tcPr>
          <w:p w14:paraId="0003360C">
            <w:pPr>
              <w:bidi w:val="0"/>
              <w:rPr>
                <w:rFonts w:hint="default" w:asciiTheme="minorAscii" w:hAnsiTheme="minorAscii"/>
                <w:b/>
                <w:bCs/>
                <w:sz w:val="24"/>
                <w:szCs w:val="24"/>
                <w:lang w:val="en-IN" w:eastAsia="zh-CN"/>
              </w:rPr>
            </w:pPr>
          </w:p>
        </w:tc>
        <w:tc>
          <w:tcPr>
            <w:tcW w:w="2753" w:type="dxa"/>
          </w:tcPr>
          <w:p w14:paraId="1F2E0CC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r>
      <w:tr w14:paraId="1B2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Borders>
              <w:top w:val="nil"/>
            </w:tcBorders>
            <w:shd w:val="clear" w:color="auto" w:fill="D8D8D8" w:themeFill="background1" w:themeFillShade="D9"/>
          </w:tcPr>
          <w:p w14:paraId="18641D92">
            <w:pPr>
              <w:keepNext w:val="0"/>
              <w:keepLines w:val="0"/>
              <w:widowControl/>
              <w:suppressLineNumbers w:val="0"/>
              <w:jc w:val="left"/>
              <w:rPr>
                <w:rFonts w:hint="default"/>
                <w:sz w:val="24"/>
                <w:szCs w:val="24"/>
                <w:lang w:val="en-IN"/>
              </w:rPr>
            </w:pPr>
            <w:r>
              <w:rPr>
                <w:rFonts w:hint="default" w:ascii="Arial" w:hAnsi="Arial" w:eastAsia="Arial-BoldMT" w:cs="Arial"/>
                <w:b/>
                <w:bCs/>
                <w:color w:val="666666"/>
                <w:kern w:val="0"/>
                <w:sz w:val="24"/>
                <w:szCs w:val="24"/>
                <w:lang w:val="en-US" w:eastAsia="zh-CN" w:bidi="ar"/>
              </w:rPr>
              <w:t>Requisition Description</w:t>
            </w:r>
            <w:r>
              <w:rPr>
                <w:rFonts w:ascii="Arial-BoldMT" w:hAnsi="Arial-BoldMT" w:eastAsia="Arial-BoldMT" w:cs="Arial-BoldMT"/>
                <w:b/>
                <w:bCs/>
                <w:color w:val="666666"/>
                <w:kern w:val="0"/>
                <w:sz w:val="24"/>
                <w:szCs w:val="24"/>
                <w:lang w:val="en-US" w:eastAsia="zh-CN" w:bidi="ar"/>
              </w:rPr>
              <w:t xml:space="preserve"> </w:t>
            </w:r>
          </w:p>
        </w:tc>
      </w:tr>
      <w:tr w14:paraId="73D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052E436C">
            <w:pPr>
              <w:keepNext w:val="0"/>
              <w:keepLines w:val="0"/>
              <w:widowControl/>
              <w:suppressLineNumbers w:val="0"/>
              <w:jc w:val="left"/>
              <w:rPr>
                <w:b/>
                <w:bCs/>
                <w:sz w:val="24"/>
                <w:szCs w:val="24"/>
                <w:lang w:val="en-US" w:eastAsia="zh-CN"/>
              </w:rPr>
            </w:pPr>
          </w:p>
          <w:p w14:paraId="5FC6D994">
            <w:pPr>
              <w:keepNext w:val="0"/>
              <w:keepLines w:val="0"/>
              <w:widowControl/>
              <w:suppressLineNumbers w:val="0"/>
              <w:ind w:left="1928" w:hanging="1928" w:hangingChars="800"/>
              <w:jc w:val="left"/>
              <w:rPr>
                <w:rFonts w:hint="default" w:asciiTheme="minorAscii" w:hAnsiTheme="minorAscii"/>
                <w:sz w:val="24"/>
                <w:szCs w:val="24"/>
              </w:rPr>
            </w:pPr>
            <w:r>
              <w:rPr>
                <w:b/>
                <w:bCs/>
                <w:sz w:val="24"/>
                <w:szCs w:val="24"/>
                <w:lang w:val="en-US" w:eastAsia="zh-CN"/>
              </w:rPr>
              <w:t>Short Description:</w:t>
            </w:r>
            <w:r>
              <w:rPr>
                <w:rFonts w:hint="default" w:asciiTheme="minorAscii" w:hAnsiTheme="minorAscii"/>
                <w:sz w:val="24"/>
                <w:szCs w:val="24"/>
                <w:lang w:val="en-IN" w:eastAsia="zh-CN"/>
              </w:rPr>
              <w:t xml:space="preserve"> </w:t>
            </w:r>
            <w:r>
              <w:rPr>
                <w:rFonts w:hint="default" w:eastAsia="SimSun" w:cs="Arial" w:asciiTheme="minorAscii" w:hAnsiTheme="minorAscii"/>
                <w:color w:val="000000"/>
                <w:kern w:val="0"/>
                <w:sz w:val="24"/>
                <w:szCs w:val="24"/>
                <w:lang w:val="en-US" w:eastAsia="zh-CN" w:bidi="ar"/>
              </w:rPr>
              <w:t>The Public Health Preparedness Field Coordinator serves as primary point of contact for LHD(s) within their assigned District for issues relating to IDOH-Division of Emergency Preparedness, goals and objectives.</w:t>
            </w:r>
          </w:p>
          <w:p w14:paraId="4096D555">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3BAE22CC">
            <w:pPr>
              <w:bidi w:val="0"/>
              <w:rPr>
                <w:sz w:val="22"/>
                <w:szCs w:val="22"/>
              </w:rPr>
            </w:pPr>
            <w:r>
              <w:rPr>
                <w:b/>
                <w:bCs/>
                <w:sz w:val="24"/>
                <w:szCs w:val="24"/>
                <w:lang w:val="en-US" w:eastAsia="zh-CN"/>
              </w:rPr>
              <w:t xml:space="preserve">Complete </w:t>
            </w:r>
            <w:r>
              <w:rPr>
                <w:rFonts w:hint="default"/>
                <w:b/>
                <w:bCs/>
                <w:sz w:val="24"/>
                <w:szCs w:val="24"/>
                <w:lang w:val="en-US" w:eastAsia="zh-CN"/>
              </w:rPr>
              <w:t>Description:</w:t>
            </w:r>
            <w:r>
              <w:rPr>
                <w:rFonts w:hint="default"/>
                <w:b/>
                <w:bCs/>
                <w:sz w:val="24"/>
                <w:szCs w:val="24"/>
                <w:lang w:val="en-IN" w:eastAsia="zh-CN"/>
              </w:rPr>
              <w:t xml:space="preserve">    </w:t>
            </w:r>
            <w:r>
              <w:rPr>
                <w:rFonts w:hint="default"/>
                <w:sz w:val="22"/>
                <w:szCs w:val="22"/>
                <w:lang w:val="en-IN" w:eastAsia="zh-CN"/>
              </w:rPr>
              <w:t xml:space="preserve">      </w:t>
            </w:r>
          </w:p>
          <w:p w14:paraId="73A4DF8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Public Health Preparedness District 4 Coordinator </w:t>
            </w:r>
          </w:p>
          <w:p w14:paraId="457B6C0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The Public Health Preparedness District Coordinator serves as primary point of contact for Local Health Departments within their assigned District for issues relating to IDOH-Division of Emergency Preparedness, goals, and objectives. </w:t>
            </w:r>
          </w:p>
          <w:p w14:paraId="7EE63BB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Public Health District Coordinator serves at the direction of the Director of District and </w:t>
            </w:r>
          </w:p>
          <w:p w14:paraId="28731EE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Local Readiness and respective IDOH DEP Regional Supervisor to their area. </w:t>
            </w:r>
          </w:p>
          <w:p w14:paraId="421EF8DD">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District 4 consists of the following cities/counties: White, Cass, Benton, Carroll, Warren, Tippecanoe, Clinton, Fountain, Montgomery. </w:t>
            </w:r>
          </w:p>
          <w:p w14:paraId="70B7550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overarching responsibility of the Public Health Preparedness District Coordinator is to identify overall preparedness gaps and needs of local health departments within their District, communicate them to their respective Regional Supervisor and assist in directing the locals to information and other resources appropriate to address their needs. It is also the responsibility of the Public Health Preparedness District Coordinator to work closely with the Healthcare Coalition District (HCC) Coordinator to help facilitate coordination between local public health </w:t>
            </w:r>
          </w:p>
          <w:p w14:paraId="0DF81CF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and healthcare partners on preparedness efforts that would require or benefit from</w:t>
            </w:r>
          </w:p>
          <w:p w14:paraId="0E11D4F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collaboration between the two programs entities. </w:t>
            </w:r>
          </w:p>
          <w:p w14:paraId="34963973">
            <w:pPr>
              <w:keepNext w:val="0"/>
              <w:keepLines w:val="0"/>
              <w:widowControl/>
              <w:suppressLineNumbers w:val="0"/>
              <w:jc w:val="left"/>
              <w:rPr>
                <w:rFonts w:hint="default" w:eastAsia="SimSun" w:cs="Arial" w:asciiTheme="minorAscii" w:hAnsiTheme="minorAscii"/>
                <w:b/>
                <w:bCs/>
                <w:color w:val="000000"/>
                <w:kern w:val="0"/>
                <w:sz w:val="24"/>
                <w:szCs w:val="24"/>
                <w:lang w:val="en-US" w:eastAsia="zh-CN" w:bidi="ar"/>
              </w:rPr>
            </w:pPr>
            <w:r>
              <w:rPr>
                <w:rFonts w:hint="default" w:eastAsia="SimSun" w:cs="Arial" w:asciiTheme="minorAscii" w:hAnsiTheme="minorAscii"/>
                <w:b/>
                <w:bCs/>
                <w:color w:val="000000"/>
                <w:kern w:val="0"/>
                <w:sz w:val="24"/>
                <w:szCs w:val="24"/>
                <w:lang w:val="en-US" w:eastAsia="zh-CN" w:bidi="ar"/>
              </w:rPr>
              <w:t xml:space="preserve">Essential Duties &amp; Responsibilities: </w:t>
            </w:r>
          </w:p>
          <w:p w14:paraId="0624A4D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Communicate regularly with the Regional Supervisor to share the needs, challenges, and accomplishments of the health departments within the assigned District and to receive instructions and guidance. </w:t>
            </w:r>
          </w:p>
          <w:p w14:paraId="7E96C17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Participate in IDOH-Division of Emergency Preparedness conference calls and staff meetings as scheduled by the respective program Director and Regional Supervisors. </w:t>
            </w:r>
          </w:p>
          <w:p w14:paraId="3FF1F66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Attend scheduled District Coalition meetings along with the HCC Coordinator assigned to the district as well as any additional health department related meetings or events as assigned by Regional Supervisor. </w:t>
            </w:r>
          </w:p>
          <w:p w14:paraId="738A8DF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Identify and communicate any planning, training, and exercise support needs or activities to Regional Supervisor. </w:t>
            </w:r>
          </w:p>
          <w:p w14:paraId="4B658FD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Provide guidance and answer questions to IDOH preparedness efforts or direct them to where they may obtain the requested guidance when necessary. </w:t>
            </w:r>
          </w:p>
          <w:p w14:paraId="31EE999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Assist in tracking grant deliverable progress and completion during preparedness activities, data collection efforts, and inventory tracking as directed. </w:t>
            </w:r>
          </w:p>
          <w:p w14:paraId="0746F94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Complete any reporting and/or tracking forms and documents as identified and requested by Regional Supervisor and/or Director. </w:t>
            </w:r>
          </w:p>
          <w:p w14:paraId="5F25892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Assist in coordinating Medical Countermeasure (MCM) Operational Readiness Review(s) (ORR) in CRI jurisdictions as needed. </w:t>
            </w:r>
          </w:p>
          <w:p w14:paraId="1C4B5EE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Submit summary reports of coalition or district meeting, individual meetings summarized on the bi-weekly (unless specified otherwise) reporting template. </w:t>
            </w:r>
          </w:p>
          <w:p w14:paraId="26ED0F4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Public Health Preparedness Field Coordinator - Expectations Staff are expected to have a strong familiarity and understanding with IDOH Division of Emergency Preparedness policies, standard operating procedures, preparedness and response plans, and technical concepts of operations, and be able to effectively communicate these to the local partners. </w:t>
            </w:r>
          </w:p>
          <w:p w14:paraId="750EDF4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Report outcomes (notes) of each meeting by submitting summary to Regional Supervisor within 2 business days. </w:t>
            </w:r>
          </w:p>
          <w:p w14:paraId="77B838E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If District staff feel they have not been provided sufficient guidance or training on </w:t>
            </w:r>
            <w:r>
              <w:rPr>
                <w:rFonts w:hint="default" w:eastAsia="SimSun" w:cs="Arial" w:asciiTheme="minorAscii" w:hAnsiTheme="minorAscii"/>
                <w:color w:val="000000"/>
                <w:kern w:val="0"/>
                <w:sz w:val="24"/>
                <w:szCs w:val="24"/>
                <w:lang w:val="en-IN" w:eastAsia="zh-CN" w:bidi="ar"/>
              </w:rPr>
              <w:t>a</w:t>
            </w:r>
            <w:r>
              <w:rPr>
                <w:rFonts w:hint="default" w:eastAsia="SimSun" w:cs="Arial" w:asciiTheme="minorAscii" w:hAnsiTheme="minorAscii"/>
                <w:color w:val="000000"/>
                <w:kern w:val="0"/>
                <w:sz w:val="24"/>
                <w:szCs w:val="24"/>
                <w:lang w:val="en-US" w:eastAsia="zh-CN" w:bidi="ar"/>
              </w:rPr>
              <w:t xml:space="preserve">ny material(s), it is their responsibility to notify their IDOH Regional Supervisor and Contractor Project Supervisor that they require additional direction or clarification. District staff are expected to actively ensure local partners, understand technical and procedural aspects of IDOH-Division of Emergency Preparedness and other state emergency management and response strategies, tactics, and plans. If staff observe or are made aware of gaps in knowledge or understanding of these topics among local partners, it is their responsibility to provide direction and clarification, </w:t>
            </w:r>
          </w:p>
          <w:p w14:paraId="52487AB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and to request assistance from their IDOH Regional Supervisor, if needed. District staff are expected to maintain an electronic file of all guidance documents, templates, and boiler plates distributed by IDOH Central Office and expected to distribute these documents as directed by Regional Supervisors to local partners and be able to fully explain their purpose and use. </w:t>
            </w:r>
          </w:p>
          <w:p w14:paraId="01B875E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When working with the local partners, District staff serve as representatives of the Indiana Department of Health and are expected to conduct and present themselves as such. If at any time, District staff feel as if they are unclear on any duty or expectation as it relates to their position, or feel they need any additional guidance or training pertaining to the technical aspects of their position, it is their responsibility to communicate their need to their IDOH Regional Supervisor and the Contractor Project Supervisor. </w:t>
            </w:r>
          </w:p>
          <w:p w14:paraId="3C5F5EB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Stay up to date on CDC, ASPR, ISDH and other relevant guidance documents and programs.</w:t>
            </w:r>
          </w:p>
          <w:p w14:paraId="50B2A090">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2AFDCB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r>
              <w:rPr>
                <w:rFonts w:hint="default" w:ascii="Arial" w:hAnsi="Arial" w:eastAsia="Arial-BoldMT" w:cs="Arial"/>
                <w:b/>
                <w:bCs/>
                <w:color w:val="000000"/>
                <w:kern w:val="0"/>
                <w:sz w:val="24"/>
                <w:szCs w:val="24"/>
                <w:lang w:val="en-US" w:eastAsia="zh-CN" w:bidi="ar"/>
              </w:rPr>
              <w:t>Required/Desired Skills</w:t>
            </w:r>
          </w:p>
          <w:p w14:paraId="48D67579">
            <w:pPr>
              <w:keepNext w:val="0"/>
              <w:keepLines w:val="0"/>
              <w:widowControl/>
              <w:suppressLineNumbers w:val="0"/>
              <w:jc w:val="left"/>
              <w:rPr>
                <w:rFonts w:hint="default" w:ascii="Arial" w:hAnsi="Arial" w:eastAsia="Arial-BoldMT" w:cs="Arial"/>
                <w:b/>
                <w:bCs/>
                <w:color w:val="000000"/>
                <w:kern w:val="0"/>
                <w:sz w:val="24"/>
                <w:szCs w:val="24"/>
                <w:lang w:val="en-IN" w:eastAsia="zh-CN" w:bidi="ar"/>
              </w:rPr>
            </w:pPr>
          </w:p>
          <w:tbl>
            <w:tblPr>
              <w:tblStyle w:val="27"/>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137"/>
              <w:gridCol w:w="1192"/>
              <w:gridCol w:w="1572"/>
            </w:tblGrid>
            <w:tr w14:paraId="02F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33" w:type="dxa"/>
                </w:tcPr>
                <w:p w14:paraId="50380DAC">
                  <w:pPr>
                    <w:bidi w:val="0"/>
                    <w:rPr>
                      <w:rFonts w:hint="default"/>
                      <w:b/>
                      <w:bCs/>
                      <w:sz w:val="24"/>
                      <w:szCs w:val="24"/>
                      <w:lang w:val="en-IN" w:eastAsia="zh-CN"/>
                    </w:rPr>
                  </w:pPr>
                  <w:r>
                    <w:rPr>
                      <w:b/>
                      <w:bCs/>
                      <w:sz w:val="24"/>
                      <w:szCs w:val="24"/>
                      <w:lang w:val="en-US" w:eastAsia="zh-CN"/>
                    </w:rPr>
                    <w:t xml:space="preserve">Skill </w:t>
                  </w:r>
                </w:p>
              </w:tc>
              <w:tc>
                <w:tcPr>
                  <w:tcW w:w="2137" w:type="dxa"/>
                </w:tcPr>
                <w:p w14:paraId="44AC86F1">
                  <w:pPr>
                    <w:bidi w:val="0"/>
                    <w:rPr>
                      <w:rFonts w:hint="default"/>
                      <w:b/>
                      <w:bCs/>
                      <w:sz w:val="24"/>
                      <w:szCs w:val="24"/>
                      <w:lang w:val="en-IN" w:eastAsia="zh-CN"/>
                    </w:rPr>
                  </w:pPr>
                  <w:r>
                    <w:rPr>
                      <w:b/>
                      <w:bCs/>
                      <w:sz w:val="24"/>
                      <w:szCs w:val="24"/>
                      <w:lang w:val="en-US" w:eastAsia="zh-CN"/>
                    </w:rPr>
                    <w:t>Required /Desired</w:t>
                  </w:r>
                </w:p>
              </w:tc>
              <w:tc>
                <w:tcPr>
                  <w:tcW w:w="1192" w:type="dxa"/>
                </w:tcPr>
                <w:p w14:paraId="56AE156A">
                  <w:pPr>
                    <w:bidi w:val="0"/>
                    <w:rPr>
                      <w:rFonts w:hint="default"/>
                      <w:b/>
                      <w:bCs/>
                      <w:sz w:val="24"/>
                      <w:szCs w:val="24"/>
                      <w:lang w:val="en-IN" w:eastAsia="zh-CN"/>
                    </w:rPr>
                  </w:pPr>
                  <w:r>
                    <w:rPr>
                      <w:b/>
                      <w:bCs/>
                      <w:sz w:val="24"/>
                      <w:szCs w:val="24"/>
                      <w:lang w:val="en-US" w:eastAsia="zh-CN"/>
                    </w:rPr>
                    <w:t xml:space="preserve">Amount </w:t>
                  </w:r>
                </w:p>
              </w:tc>
              <w:tc>
                <w:tcPr>
                  <w:tcW w:w="1572" w:type="dxa"/>
                </w:tcPr>
                <w:p w14:paraId="6E80E7FB">
                  <w:pPr>
                    <w:bidi w:val="0"/>
                    <w:rPr>
                      <w:rFonts w:hint="default"/>
                      <w:b/>
                      <w:bCs/>
                      <w:sz w:val="24"/>
                      <w:szCs w:val="24"/>
                      <w:lang w:val="en-IN" w:eastAsia="zh-CN"/>
                    </w:rPr>
                  </w:pPr>
                  <w:r>
                    <w:rPr>
                      <w:b/>
                      <w:bCs/>
                      <w:sz w:val="24"/>
                      <w:szCs w:val="24"/>
                      <w:lang w:val="en-US" w:eastAsia="zh-CN"/>
                    </w:rPr>
                    <w:t xml:space="preserve">of Experience </w:t>
                  </w:r>
                </w:p>
              </w:tc>
            </w:tr>
            <w:tr w14:paraId="29BB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5FE5FD0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Emergency preparedness, public health or public safety experience.</w:t>
                  </w:r>
                </w:p>
              </w:tc>
              <w:tc>
                <w:tcPr>
                  <w:tcW w:w="2137" w:type="dxa"/>
                </w:tcPr>
                <w:p w14:paraId="781D4410">
                  <w:pPr>
                    <w:keepNext w:val="0"/>
                    <w:keepLines w:val="0"/>
                    <w:widowControl/>
                    <w:suppressLineNumbers w:val="0"/>
                    <w:jc w:val="center"/>
                    <w:rPr>
                      <w:rFonts w:hint="default" w:asciiTheme="minorAscii" w:hAnsiTheme="minorAscii"/>
                      <w:b/>
                      <w:bCs/>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Required</w:t>
                  </w:r>
                </w:p>
              </w:tc>
              <w:tc>
                <w:tcPr>
                  <w:tcW w:w="1192" w:type="dxa"/>
                </w:tcPr>
                <w:p w14:paraId="0F1D8EB8">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026931B2">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1847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047E874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Prior experience facilitating and managing meetings within program agency and local </w:t>
                  </w:r>
                </w:p>
                <w:p w14:paraId="46979A0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partners, including maintaining meeting notes.</w:t>
                  </w:r>
                </w:p>
              </w:tc>
              <w:tc>
                <w:tcPr>
                  <w:tcW w:w="2137" w:type="dxa"/>
                </w:tcPr>
                <w:p w14:paraId="355F408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60F4EE1D">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5D2CDE4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p>
              </w:tc>
            </w:tr>
            <w:tr w14:paraId="68AF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3727238">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Prior experience collaborating with Public Health or public safety program entities</w:t>
                  </w:r>
                </w:p>
              </w:tc>
              <w:tc>
                <w:tcPr>
                  <w:tcW w:w="2137" w:type="dxa"/>
                </w:tcPr>
                <w:p w14:paraId="62B1EA20">
                  <w:pPr>
                    <w:keepNext w:val="0"/>
                    <w:keepLines w:val="0"/>
                    <w:widowControl/>
                    <w:suppressLineNumbers w:val="0"/>
                    <w:jc w:val="center"/>
                    <w:rPr>
                      <w:rFonts w:hint="default" w:asciiTheme="minorAscii" w:hAnsiTheme="minorAscii"/>
                      <w:b/>
                      <w:bCs/>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Required</w:t>
                  </w:r>
                </w:p>
              </w:tc>
              <w:tc>
                <w:tcPr>
                  <w:tcW w:w="1192" w:type="dxa"/>
                </w:tcPr>
                <w:p w14:paraId="2391728F">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74400C19">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5D09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53DD8EE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Experience identifying and communicating training and support needs or activities of </w:t>
                  </w:r>
                </w:p>
                <w:p w14:paraId="2D41DC5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program</w:t>
                  </w:r>
                </w:p>
              </w:tc>
              <w:tc>
                <w:tcPr>
                  <w:tcW w:w="2137" w:type="dxa"/>
                </w:tcPr>
                <w:p w14:paraId="4FF0F21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341554E">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57AF102A">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4AA1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374463C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Must possess strong working knowledge of and practical skills in the use of Microsoft Office applications</w:t>
                  </w:r>
                </w:p>
              </w:tc>
              <w:tc>
                <w:tcPr>
                  <w:tcW w:w="2137" w:type="dxa"/>
                </w:tcPr>
                <w:p w14:paraId="7ED688AD">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40459018">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71D9FD4B">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6CEA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181D3440">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Strong communication skills, both orally and in writing.</w:t>
                  </w:r>
                </w:p>
              </w:tc>
              <w:tc>
                <w:tcPr>
                  <w:tcW w:w="2137" w:type="dxa"/>
                </w:tcPr>
                <w:p w14:paraId="3A6DA1F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105F7ED">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7A64E372">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001F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0A84B93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Flexibility and ability to multi-task and prioritize according to agency's needs.</w:t>
                  </w:r>
                </w:p>
              </w:tc>
              <w:tc>
                <w:tcPr>
                  <w:tcW w:w="2137" w:type="dxa"/>
                </w:tcPr>
                <w:p w14:paraId="43130C05">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2E9BEFC">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0E20C37B">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1989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55DF089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Prior working experience with grant management</w:t>
                  </w:r>
                </w:p>
              </w:tc>
              <w:tc>
                <w:tcPr>
                  <w:tcW w:w="2137" w:type="dxa"/>
                </w:tcPr>
                <w:p w14:paraId="24C2F92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06210C73">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3713EC53">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45A4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6D866A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Bachelor's Degree preferred, will accept Public Health or Public Safety Experience as a substitute</w:t>
                  </w:r>
                </w:p>
              </w:tc>
              <w:tc>
                <w:tcPr>
                  <w:tcW w:w="2137" w:type="dxa"/>
                </w:tcPr>
                <w:p w14:paraId="7D8B33F0">
                  <w:pPr>
                    <w:keepNext w:val="0"/>
                    <w:keepLines w:val="0"/>
                    <w:widowControl/>
                    <w:suppressLineNumbers w:val="0"/>
                    <w:jc w:val="center"/>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Desired</w:t>
                  </w:r>
                </w:p>
                <w:p w14:paraId="0BF76100">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p>
              </w:tc>
              <w:tc>
                <w:tcPr>
                  <w:tcW w:w="1192" w:type="dxa"/>
                </w:tcPr>
                <w:p w14:paraId="75E941EA">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149858EE">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bl>
          <w:p w14:paraId="51A04837">
            <w:pPr>
              <w:bidi w:val="0"/>
              <w:rPr>
                <w:b/>
                <w:bCs/>
                <w:sz w:val="24"/>
                <w:szCs w:val="24"/>
                <w:lang w:val="en-US" w:eastAsia="zh-CN"/>
              </w:rPr>
            </w:pPr>
          </w:p>
          <w:p w14:paraId="71536C4D">
            <w:pPr>
              <w:bidi w:val="0"/>
              <w:rPr>
                <w:rFonts w:hint="default"/>
                <w:sz w:val="24"/>
                <w:szCs w:val="24"/>
                <w:lang w:val="en-IN" w:eastAsia="zh-CN"/>
              </w:rPr>
            </w:pPr>
            <w:r>
              <w:rPr>
                <w:b/>
                <w:bCs/>
                <w:sz w:val="24"/>
                <w:szCs w:val="24"/>
                <w:lang w:val="en-US" w:eastAsia="zh-CN"/>
              </w:rPr>
              <w:t>Questions</w:t>
            </w:r>
            <w:r>
              <w:rPr>
                <w:rFonts w:hint="default"/>
                <w:b/>
                <w:bCs/>
                <w:sz w:val="24"/>
                <w:szCs w:val="24"/>
                <w:lang w:val="en-IN" w:eastAsia="zh-CN"/>
              </w:rPr>
              <w:t>:</w:t>
            </w:r>
          </w:p>
          <w:p w14:paraId="3AB5B86A">
            <w:pPr>
              <w:bidi w:val="0"/>
              <w:rPr>
                <w:rFonts w:hint="default"/>
                <w:sz w:val="24"/>
                <w:szCs w:val="24"/>
                <w:lang w:val="en-IN" w:eastAsia="zh-CN"/>
              </w:rPr>
            </w:pPr>
          </w:p>
          <w:tbl>
            <w:tblPr>
              <w:tblStyle w:val="2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21"/>
            </w:tblGrid>
            <w:tr w14:paraId="547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trPr>
              <w:tc>
                <w:tcPr>
                  <w:tcW w:w="1429" w:type="dxa"/>
                </w:tcPr>
                <w:p w14:paraId="55E7765B">
                  <w:pPr>
                    <w:bidi w:val="0"/>
                    <w:rPr>
                      <w:rFonts w:hint="default"/>
                      <w:sz w:val="22"/>
                      <w:szCs w:val="22"/>
                      <w:lang w:val="en-IN" w:eastAsia="zh-CN"/>
                    </w:rPr>
                  </w:pPr>
                </w:p>
              </w:tc>
              <w:tc>
                <w:tcPr>
                  <w:tcW w:w="7721" w:type="dxa"/>
                </w:tcPr>
                <w:p w14:paraId="47295A1A">
                  <w:pPr>
                    <w:bidi w:val="0"/>
                    <w:rPr>
                      <w:rFonts w:hint="default"/>
                      <w:b/>
                      <w:bCs/>
                      <w:sz w:val="22"/>
                      <w:szCs w:val="22"/>
                      <w:lang w:val="en-US" w:eastAsia="zh-CN"/>
                    </w:rPr>
                  </w:pPr>
                  <w:r>
                    <w:rPr>
                      <w:rFonts w:hint="default"/>
                      <w:sz w:val="22"/>
                      <w:szCs w:val="22"/>
                      <w:lang w:val="en-IN" w:eastAsia="zh-CN"/>
                    </w:rPr>
                    <w:t xml:space="preserve">                                                           </w:t>
                  </w:r>
                  <w:r>
                    <w:rPr>
                      <w:rFonts w:hint="default"/>
                      <w:b/>
                      <w:bCs/>
                      <w:sz w:val="22"/>
                      <w:szCs w:val="22"/>
                      <w:lang w:val="en-US" w:eastAsia="zh-CN"/>
                    </w:rPr>
                    <w:t>Description</w:t>
                  </w:r>
                </w:p>
                <w:p w14:paraId="11614FBD">
                  <w:pPr>
                    <w:bidi w:val="0"/>
                    <w:rPr>
                      <w:rFonts w:hint="default"/>
                      <w:sz w:val="22"/>
                      <w:szCs w:val="22"/>
                      <w:lang w:val="en-IN" w:eastAsia="zh-CN"/>
                    </w:rPr>
                  </w:pPr>
                </w:p>
              </w:tc>
            </w:tr>
            <w:tr w14:paraId="190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7E443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w:t>
                  </w:r>
                </w:p>
              </w:tc>
              <w:tc>
                <w:tcPr>
                  <w:tcW w:w="7721" w:type="dxa"/>
                </w:tcPr>
                <w:p w14:paraId="0B23A34F">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Absences greater than two weeks MUST be approved by CAI management in advance, and contact information must be provided to CAI so that the resource can be reached during his or her absence. The Client has the right to dismiss the resource if he or she does not return to work by the agreed upon date. Do you accept this requirement?</w:t>
                  </w:r>
                </w:p>
              </w:tc>
            </w:tr>
            <w:tr w14:paraId="1DF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29" w:type="dxa"/>
                </w:tcPr>
                <w:p w14:paraId="41E0F65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2</w:t>
                  </w:r>
                </w:p>
              </w:tc>
              <w:tc>
                <w:tcPr>
                  <w:tcW w:w="7721" w:type="dxa"/>
                </w:tcPr>
                <w:p w14:paraId="0EEBE819">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Please list candidate's email address and phone #.</w:t>
                  </w:r>
                </w:p>
              </w:tc>
            </w:tr>
            <w:tr w14:paraId="455D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429" w:type="dxa"/>
                </w:tcPr>
                <w:p w14:paraId="568E4098">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3</w:t>
                  </w:r>
                </w:p>
              </w:tc>
              <w:tc>
                <w:tcPr>
                  <w:tcW w:w="7721" w:type="dxa"/>
                </w:tcPr>
                <w:p w14:paraId="492337EB">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Please list the city and state where candidate currently resides.</w:t>
                  </w:r>
                </w:p>
              </w:tc>
            </w:tr>
            <w:tr w14:paraId="2756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4494FAF">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4</w:t>
                  </w:r>
                </w:p>
              </w:tc>
              <w:tc>
                <w:tcPr>
                  <w:tcW w:w="7721" w:type="dxa"/>
                </w:tcPr>
                <w:p w14:paraId="3E81F4D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Will be required to travel once a month to each of District 4s Local Health Department and Healthcare Coalition meetings. Counties in District 4 include Benton, White, Cass, Carroll, Warren, Tippecanoe, Clinton, Fountain and Montgomery . May also be required to travel w/in District 3 for assistance as </w:t>
                  </w:r>
                </w:p>
                <w:p w14:paraId="4D65EE69">
                  <w:pPr>
                    <w:keepNext w:val="0"/>
                    <w:keepLines w:val="0"/>
                    <w:widowControl/>
                    <w:suppressLineNumbers w:val="0"/>
                    <w:jc w:val="left"/>
                    <w:rPr>
                      <w:rFonts w:hint="default" w:asciiTheme="minorAscii" w:hAnsiTheme="minorAscii"/>
                      <w:sz w:val="24"/>
                      <w:szCs w:val="24"/>
                      <w:lang w:val="en-US" w:eastAsia="zh-CN"/>
                    </w:rPr>
                  </w:pPr>
                  <w:r>
                    <w:rPr>
                      <w:rFonts w:hint="default" w:eastAsia="SimSun" w:cs="Arial" w:asciiTheme="minorAscii" w:hAnsiTheme="minorAscii"/>
                      <w:color w:val="000000"/>
                      <w:kern w:val="0"/>
                      <w:sz w:val="24"/>
                      <w:szCs w:val="24"/>
                      <w:lang w:val="en-US" w:eastAsia="zh-CN" w:bidi="ar"/>
                    </w:rPr>
                    <w:t>needed. Do you accept this requirement?</w:t>
                  </w:r>
                </w:p>
              </w:tc>
            </w:tr>
            <w:tr w14:paraId="166F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7EF4D26A">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5</w:t>
                  </w:r>
                </w:p>
              </w:tc>
              <w:tc>
                <w:tcPr>
                  <w:tcW w:w="7721" w:type="dxa"/>
                </w:tcPr>
                <w:p w14:paraId="185ABD5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Field Coordinator is a remote work position but expected to travel across respective district/State of Indiana approximately 65%-75% of the time. Do you accept this requirement?</w:t>
                  </w:r>
                </w:p>
              </w:tc>
            </w:tr>
            <w:tr w14:paraId="0EA5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BEB6BD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6</w:t>
                  </w:r>
                </w:p>
              </w:tc>
              <w:tc>
                <w:tcPr>
                  <w:tcW w:w="7721" w:type="dxa"/>
                </w:tcPr>
                <w:p w14:paraId="1BBBFF2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Candidate must reside within district 4. Please list the county the candidate lives in.</w:t>
                  </w:r>
                </w:p>
              </w:tc>
            </w:tr>
            <w:tr w14:paraId="536B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2C8BF4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7</w:t>
                  </w:r>
                </w:p>
              </w:tc>
              <w:tc>
                <w:tcPr>
                  <w:tcW w:w="7721" w:type="dxa"/>
                </w:tcPr>
                <w:p w14:paraId="66053A3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Candidates may be required to work an occasional weekend during an emergency response. Do you </w:t>
                  </w:r>
                </w:p>
                <w:p w14:paraId="144CE42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accept this requirement?</w:t>
                  </w:r>
                </w:p>
              </w:tc>
            </w:tr>
            <w:tr w14:paraId="2087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3FABAEDB">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8</w:t>
                  </w:r>
                </w:p>
              </w:tc>
              <w:tc>
                <w:tcPr>
                  <w:tcW w:w="7721" w:type="dxa"/>
                </w:tcPr>
                <w:p w14:paraId="2ABEFB4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Potential candidates to review the DOH emergency preparedness home page for a better understanding of the agency and their function. See document located in reference section. Link at bottom of document </w:t>
                  </w:r>
                </w:p>
                <w:p w14:paraId="26A62A3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will take candidate to home page. Has candidate reviewed this?</w:t>
                  </w:r>
                </w:p>
              </w:tc>
            </w:tr>
          </w:tbl>
          <w:p w14:paraId="6617EA72">
            <w:pPr>
              <w:rPr>
                <w:rFonts w:hint="default"/>
                <w:b/>
                <w:bCs/>
                <w:sz w:val="24"/>
                <w:szCs w:val="24"/>
                <w:lang w:val="en-IN" w:eastAsia="zh-CN"/>
              </w:rPr>
            </w:pPr>
          </w:p>
          <w:p w14:paraId="78AFAC2E">
            <w:pPr>
              <w:rPr>
                <w:rFonts w:hint="default"/>
                <w:b/>
                <w:bCs/>
                <w:sz w:val="24"/>
                <w:szCs w:val="24"/>
                <w:lang w:val="en-IN" w:eastAsia="zh-CN"/>
              </w:rPr>
            </w:pPr>
          </w:p>
        </w:tc>
      </w:tr>
      <w:tr w14:paraId="095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4B7981ED">
            <w:pPr>
              <w:rPr>
                <w:rFonts w:hint="default"/>
                <w:b/>
                <w:bCs/>
                <w:sz w:val="24"/>
                <w:szCs w:val="24"/>
                <w:lang w:val="en-IN" w:eastAsia="zh-C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16"/>
        <w:gridCol w:w="2929"/>
        <w:gridCol w:w="1416"/>
        <w:gridCol w:w="3206"/>
      </w:tblGrid>
      <w:tr w14:paraId="42BE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tcBorders>
              <w:top w:val="nil"/>
            </w:tcBorders>
            <w:shd w:val="clear" w:color="auto" w:fill="D8D8D8" w:themeFill="background1" w:themeFillShade="D9"/>
          </w:tcPr>
          <w:p w14:paraId="0897D9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929" w:type="dxa"/>
            <w:tcBorders>
              <w:top w:val="nil"/>
            </w:tcBorders>
          </w:tcPr>
          <w:p w14:paraId="586107EA">
            <w:pPr>
              <w:spacing w:after="0"/>
              <w:rPr>
                <w:rFonts w:hint="default"/>
                <w:sz w:val="24"/>
                <w:szCs w:val="24"/>
                <w:lang w:val="en-IN"/>
              </w:rPr>
            </w:pPr>
            <w:r>
              <w:rPr>
                <w:rFonts w:hint="default"/>
                <w:sz w:val="24"/>
                <w:szCs w:val="24"/>
                <w:lang w:val="en-IN"/>
              </w:rPr>
              <w:t>Swathi G</w:t>
            </w:r>
          </w:p>
        </w:tc>
        <w:tc>
          <w:tcPr>
            <w:tcW w:w="1416" w:type="dxa"/>
            <w:tcBorders>
              <w:top w:val="nil"/>
            </w:tcBorders>
            <w:shd w:val="clear" w:color="auto" w:fill="D8D8D8" w:themeFill="background1" w:themeFillShade="D9"/>
          </w:tcPr>
          <w:p w14:paraId="66FAC59C">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206" w:type="dxa"/>
            <w:tcBorders>
              <w:top w:val="nil"/>
            </w:tcBorders>
          </w:tcPr>
          <w:p w14:paraId="35D095C6">
            <w:pPr>
              <w:spacing w:after="0"/>
              <w:rPr>
                <w:rFonts w:hint="default"/>
                <w:sz w:val="24"/>
                <w:szCs w:val="24"/>
                <w:lang w:val="en-IN"/>
              </w:rPr>
            </w:pPr>
            <w:r>
              <w:rPr>
                <w:rFonts w:hint="default"/>
                <w:sz w:val="24"/>
                <w:szCs w:val="24"/>
                <w:lang w:val="en-IN"/>
              </w:rPr>
              <w:t>01/07/2025</w:t>
            </w:r>
          </w:p>
        </w:tc>
      </w:tr>
      <w:tr w14:paraId="651A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F9F24D">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929" w:type="dxa"/>
          </w:tcPr>
          <w:p w14:paraId="3428E26A">
            <w:pPr>
              <w:spacing w:after="0"/>
              <w:rPr>
                <w:sz w:val="24"/>
                <w:szCs w:val="24"/>
              </w:rPr>
            </w:pPr>
            <w:r>
              <w:rPr>
                <w:sz w:val="24"/>
                <w:szCs w:val="24"/>
              </w:rPr>
              <w:t>Ram S</w:t>
            </w:r>
          </w:p>
        </w:tc>
        <w:tc>
          <w:tcPr>
            <w:tcW w:w="1416" w:type="dxa"/>
            <w:shd w:val="clear" w:color="auto" w:fill="D8D8D8" w:themeFill="background1" w:themeFillShade="D9"/>
          </w:tcPr>
          <w:p w14:paraId="614C0531">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206" w:type="dxa"/>
          </w:tcPr>
          <w:p w14:paraId="5FEF163D">
            <w:pPr>
              <w:spacing w:after="0"/>
              <w:rPr>
                <w:rFonts w:hint="default"/>
                <w:sz w:val="24"/>
                <w:szCs w:val="24"/>
                <w:lang w:val="en-IN"/>
              </w:rPr>
            </w:pPr>
            <w:r>
              <w:rPr>
                <w:rFonts w:hint="default"/>
                <w:sz w:val="24"/>
                <w:szCs w:val="24"/>
                <w:lang w:val="en-IN"/>
              </w:rPr>
              <w:t>01/07/2025</w:t>
            </w:r>
          </w:p>
        </w:tc>
      </w:tr>
      <w:tr w14:paraId="755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329472">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929" w:type="dxa"/>
          </w:tcPr>
          <w:p w14:paraId="5BFECEAC">
            <w:pPr>
              <w:spacing w:after="0"/>
              <w:rPr>
                <w:rFonts w:hint="default"/>
                <w:sz w:val="24"/>
                <w:szCs w:val="24"/>
                <w:lang w:val="en-IN"/>
              </w:rPr>
            </w:pPr>
            <w:r>
              <w:rPr>
                <w:rFonts w:hint="default"/>
                <w:sz w:val="24"/>
                <w:szCs w:val="24"/>
                <w:lang w:val="en-IN"/>
              </w:rPr>
              <w:t>Swathi G</w:t>
            </w:r>
          </w:p>
        </w:tc>
        <w:tc>
          <w:tcPr>
            <w:tcW w:w="1416" w:type="dxa"/>
            <w:shd w:val="clear" w:color="auto" w:fill="D8D8D8" w:themeFill="background1" w:themeFillShade="D9"/>
          </w:tcPr>
          <w:p w14:paraId="1F277688">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206" w:type="dxa"/>
          </w:tcPr>
          <w:p w14:paraId="686299B8">
            <w:pPr>
              <w:spacing w:after="0"/>
              <w:rPr>
                <w:rFonts w:hint="default"/>
                <w:sz w:val="24"/>
                <w:szCs w:val="24"/>
                <w:lang w:val="en-IN"/>
              </w:rPr>
            </w:pPr>
            <w:r>
              <w:rPr>
                <w:rFonts w:hint="default"/>
                <w:sz w:val="24"/>
                <w:szCs w:val="24"/>
                <w:lang w:val="en-IN"/>
              </w:rPr>
              <w:t>01/07/2025</w:t>
            </w:r>
          </w:p>
        </w:tc>
      </w:tr>
    </w:tbl>
    <w:p w14:paraId="24EA8551">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C95C">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B70A">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EA2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E3543"/>
    <w:rsid w:val="005F3E2C"/>
    <w:rsid w:val="006228EE"/>
    <w:rsid w:val="00635407"/>
    <w:rsid w:val="0066002F"/>
    <w:rsid w:val="006A0C25"/>
    <w:rsid w:val="00761239"/>
    <w:rsid w:val="00780E77"/>
    <w:rsid w:val="00795023"/>
    <w:rsid w:val="007D3519"/>
    <w:rsid w:val="007D7034"/>
    <w:rsid w:val="00802707"/>
    <w:rsid w:val="008156CB"/>
    <w:rsid w:val="0083261D"/>
    <w:rsid w:val="008527F0"/>
    <w:rsid w:val="0089483A"/>
    <w:rsid w:val="008A6F05"/>
    <w:rsid w:val="009541C6"/>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01775AB7"/>
    <w:rsid w:val="01AC4CD4"/>
    <w:rsid w:val="01FF7304"/>
    <w:rsid w:val="02C85485"/>
    <w:rsid w:val="030002CA"/>
    <w:rsid w:val="03275A1F"/>
    <w:rsid w:val="03914E64"/>
    <w:rsid w:val="03F74B34"/>
    <w:rsid w:val="05370A04"/>
    <w:rsid w:val="05970686"/>
    <w:rsid w:val="06F00A8D"/>
    <w:rsid w:val="07606FFD"/>
    <w:rsid w:val="07981066"/>
    <w:rsid w:val="07F21670"/>
    <w:rsid w:val="0851784F"/>
    <w:rsid w:val="08914E07"/>
    <w:rsid w:val="08C45057"/>
    <w:rsid w:val="09372A6A"/>
    <w:rsid w:val="09902C76"/>
    <w:rsid w:val="0B321830"/>
    <w:rsid w:val="0B393DE2"/>
    <w:rsid w:val="0B686864"/>
    <w:rsid w:val="0B71456D"/>
    <w:rsid w:val="0BC66791"/>
    <w:rsid w:val="0BC8480C"/>
    <w:rsid w:val="0BC92A2E"/>
    <w:rsid w:val="0BF37B6E"/>
    <w:rsid w:val="0D076749"/>
    <w:rsid w:val="0D243FB9"/>
    <w:rsid w:val="0D673A62"/>
    <w:rsid w:val="0E22383E"/>
    <w:rsid w:val="0E2D22A1"/>
    <w:rsid w:val="0E337D13"/>
    <w:rsid w:val="0E4A7C2B"/>
    <w:rsid w:val="0E854709"/>
    <w:rsid w:val="0ED2630A"/>
    <w:rsid w:val="0EE11518"/>
    <w:rsid w:val="0F177DA1"/>
    <w:rsid w:val="0F9118F2"/>
    <w:rsid w:val="0FED448A"/>
    <w:rsid w:val="108E667C"/>
    <w:rsid w:val="111E2E6B"/>
    <w:rsid w:val="112E23BD"/>
    <w:rsid w:val="11521B2F"/>
    <w:rsid w:val="11680B28"/>
    <w:rsid w:val="11C35499"/>
    <w:rsid w:val="11C83EDF"/>
    <w:rsid w:val="12065C33"/>
    <w:rsid w:val="12530E62"/>
    <w:rsid w:val="12632C0B"/>
    <w:rsid w:val="128E030E"/>
    <w:rsid w:val="13396D21"/>
    <w:rsid w:val="138D2A8E"/>
    <w:rsid w:val="141615C4"/>
    <w:rsid w:val="142E3EF1"/>
    <w:rsid w:val="14506849"/>
    <w:rsid w:val="14576266"/>
    <w:rsid w:val="14C53172"/>
    <w:rsid w:val="15697A73"/>
    <w:rsid w:val="15E663A2"/>
    <w:rsid w:val="162E00AA"/>
    <w:rsid w:val="163D1FDF"/>
    <w:rsid w:val="164A2484"/>
    <w:rsid w:val="17103868"/>
    <w:rsid w:val="171635D5"/>
    <w:rsid w:val="17397B7B"/>
    <w:rsid w:val="173E1F6A"/>
    <w:rsid w:val="179C165E"/>
    <w:rsid w:val="17C07708"/>
    <w:rsid w:val="18580107"/>
    <w:rsid w:val="185946EA"/>
    <w:rsid w:val="18CD6658"/>
    <w:rsid w:val="196150BD"/>
    <w:rsid w:val="19AC1F74"/>
    <w:rsid w:val="19FD4DBC"/>
    <w:rsid w:val="1A686ED7"/>
    <w:rsid w:val="1ABE0A6C"/>
    <w:rsid w:val="1AD06FC0"/>
    <w:rsid w:val="1B4335CE"/>
    <w:rsid w:val="1BF65477"/>
    <w:rsid w:val="1C0C0712"/>
    <w:rsid w:val="1C7D5A08"/>
    <w:rsid w:val="1CB10DF5"/>
    <w:rsid w:val="1D945099"/>
    <w:rsid w:val="1DDD204A"/>
    <w:rsid w:val="1EBC6F29"/>
    <w:rsid w:val="1EE15901"/>
    <w:rsid w:val="1F0B7C6F"/>
    <w:rsid w:val="1F446577"/>
    <w:rsid w:val="1F544AD3"/>
    <w:rsid w:val="1FB97080"/>
    <w:rsid w:val="1FCE0D8F"/>
    <w:rsid w:val="20622A7B"/>
    <w:rsid w:val="208D692F"/>
    <w:rsid w:val="213E1283"/>
    <w:rsid w:val="21AE7509"/>
    <w:rsid w:val="226B7ED8"/>
    <w:rsid w:val="227E2BAF"/>
    <w:rsid w:val="22947984"/>
    <w:rsid w:val="23237D2B"/>
    <w:rsid w:val="238501D2"/>
    <w:rsid w:val="23D30B10"/>
    <w:rsid w:val="243773BE"/>
    <w:rsid w:val="251B6576"/>
    <w:rsid w:val="25F75918"/>
    <w:rsid w:val="26146E6F"/>
    <w:rsid w:val="2616454F"/>
    <w:rsid w:val="263360F5"/>
    <w:rsid w:val="26720751"/>
    <w:rsid w:val="26A80852"/>
    <w:rsid w:val="27484E86"/>
    <w:rsid w:val="282C3213"/>
    <w:rsid w:val="283E1AA4"/>
    <w:rsid w:val="295155C7"/>
    <w:rsid w:val="29F36BF3"/>
    <w:rsid w:val="2A427D3B"/>
    <w:rsid w:val="2A8F5EEB"/>
    <w:rsid w:val="2CAB69B7"/>
    <w:rsid w:val="2CD11357"/>
    <w:rsid w:val="2D24536F"/>
    <w:rsid w:val="2D823F18"/>
    <w:rsid w:val="2F281382"/>
    <w:rsid w:val="2F286082"/>
    <w:rsid w:val="2F432D4E"/>
    <w:rsid w:val="2F481C98"/>
    <w:rsid w:val="2F572182"/>
    <w:rsid w:val="2FE96590"/>
    <w:rsid w:val="30810708"/>
    <w:rsid w:val="315C08FD"/>
    <w:rsid w:val="31795C4D"/>
    <w:rsid w:val="317A3F6F"/>
    <w:rsid w:val="317D45FE"/>
    <w:rsid w:val="3275422A"/>
    <w:rsid w:val="32C23C73"/>
    <w:rsid w:val="32DC6CA9"/>
    <w:rsid w:val="33D11FED"/>
    <w:rsid w:val="34611062"/>
    <w:rsid w:val="34C766B1"/>
    <w:rsid w:val="34CE1398"/>
    <w:rsid w:val="34E20F01"/>
    <w:rsid w:val="34E463DC"/>
    <w:rsid w:val="34FE4ACB"/>
    <w:rsid w:val="358E708C"/>
    <w:rsid w:val="35981966"/>
    <w:rsid w:val="36D36B6E"/>
    <w:rsid w:val="38EC07D4"/>
    <w:rsid w:val="395B28BE"/>
    <w:rsid w:val="39AD6B60"/>
    <w:rsid w:val="39E269ED"/>
    <w:rsid w:val="3A257BB2"/>
    <w:rsid w:val="3A701153"/>
    <w:rsid w:val="3A863CF6"/>
    <w:rsid w:val="3AA019DB"/>
    <w:rsid w:val="3AB320D6"/>
    <w:rsid w:val="3C737B09"/>
    <w:rsid w:val="3CE478F2"/>
    <w:rsid w:val="3D774AE7"/>
    <w:rsid w:val="3D7D5142"/>
    <w:rsid w:val="3DFD478E"/>
    <w:rsid w:val="3E0C216A"/>
    <w:rsid w:val="3E48469E"/>
    <w:rsid w:val="3E56789E"/>
    <w:rsid w:val="3E8D7574"/>
    <w:rsid w:val="3E927CE3"/>
    <w:rsid w:val="3EA84792"/>
    <w:rsid w:val="3F3636D1"/>
    <w:rsid w:val="3F7A218F"/>
    <w:rsid w:val="3F9B2556"/>
    <w:rsid w:val="40582851"/>
    <w:rsid w:val="40937230"/>
    <w:rsid w:val="4128261B"/>
    <w:rsid w:val="421F5034"/>
    <w:rsid w:val="447E2460"/>
    <w:rsid w:val="44851F21"/>
    <w:rsid w:val="44C87DEE"/>
    <w:rsid w:val="45F615CA"/>
    <w:rsid w:val="461346C4"/>
    <w:rsid w:val="465A6CB6"/>
    <w:rsid w:val="46B913D2"/>
    <w:rsid w:val="47B61BBB"/>
    <w:rsid w:val="480B6532"/>
    <w:rsid w:val="485E164A"/>
    <w:rsid w:val="48814391"/>
    <w:rsid w:val="48C45A83"/>
    <w:rsid w:val="48DC4B0F"/>
    <w:rsid w:val="491D0AAC"/>
    <w:rsid w:val="491E2BB4"/>
    <w:rsid w:val="4961559F"/>
    <w:rsid w:val="499C63D6"/>
    <w:rsid w:val="4A1B2123"/>
    <w:rsid w:val="4A5C4A5F"/>
    <w:rsid w:val="4A7B7976"/>
    <w:rsid w:val="4A7D47F2"/>
    <w:rsid w:val="4A807842"/>
    <w:rsid w:val="4A9162BA"/>
    <w:rsid w:val="4AFB2C00"/>
    <w:rsid w:val="4B0B112F"/>
    <w:rsid w:val="4B554287"/>
    <w:rsid w:val="4B677ED0"/>
    <w:rsid w:val="4C5B6281"/>
    <w:rsid w:val="4CA2762F"/>
    <w:rsid w:val="4CFF3C18"/>
    <w:rsid w:val="4DC66AD3"/>
    <w:rsid w:val="4E8F6052"/>
    <w:rsid w:val="4F4459C7"/>
    <w:rsid w:val="4F81630D"/>
    <w:rsid w:val="4FB212A1"/>
    <w:rsid w:val="4FF07E67"/>
    <w:rsid w:val="4FF71C16"/>
    <w:rsid w:val="50DD3FFF"/>
    <w:rsid w:val="512164A2"/>
    <w:rsid w:val="51EE2B07"/>
    <w:rsid w:val="524B64ED"/>
    <w:rsid w:val="5267200C"/>
    <w:rsid w:val="52F31070"/>
    <w:rsid w:val="53043E61"/>
    <w:rsid w:val="532C4B59"/>
    <w:rsid w:val="53F3606E"/>
    <w:rsid w:val="54361033"/>
    <w:rsid w:val="548776FA"/>
    <w:rsid w:val="56096C8D"/>
    <w:rsid w:val="563D2843"/>
    <w:rsid w:val="56735C9F"/>
    <w:rsid w:val="56AB2F94"/>
    <w:rsid w:val="56DB0094"/>
    <w:rsid w:val="56F3097D"/>
    <w:rsid w:val="571A179C"/>
    <w:rsid w:val="574B6CB1"/>
    <w:rsid w:val="575F1853"/>
    <w:rsid w:val="57643E98"/>
    <w:rsid w:val="58E774A6"/>
    <w:rsid w:val="598F0DEF"/>
    <w:rsid w:val="59A84729"/>
    <w:rsid w:val="5B901729"/>
    <w:rsid w:val="5B9215BE"/>
    <w:rsid w:val="5BBE7BD2"/>
    <w:rsid w:val="5BD63E75"/>
    <w:rsid w:val="5C66737C"/>
    <w:rsid w:val="5C8A3D03"/>
    <w:rsid w:val="5CBC3B08"/>
    <w:rsid w:val="5CE1607C"/>
    <w:rsid w:val="5DEC0B37"/>
    <w:rsid w:val="5E0367B5"/>
    <w:rsid w:val="5EFF377B"/>
    <w:rsid w:val="5F1A17B8"/>
    <w:rsid w:val="5F946ED8"/>
    <w:rsid w:val="5FAE131C"/>
    <w:rsid w:val="60515CE2"/>
    <w:rsid w:val="606556B3"/>
    <w:rsid w:val="60662C01"/>
    <w:rsid w:val="60AB752E"/>
    <w:rsid w:val="60B86F9C"/>
    <w:rsid w:val="61474495"/>
    <w:rsid w:val="615F7451"/>
    <w:rsid w:val="624D1B1C"/>
    <w:rsid w:val="628B5BC3"/>
    <w:rsid w:val="63590E43"/>
    <w:rsid w:val="636A5CD2"/>
    <w:rsid w:val="63B71005"/>
    <w:rsid w:val="63BD7968"/>
    <w:rsid w:val="63C01DEA"/>
    <w:rsid w:val="642C6F67"/>
    <w:rsid w:val="64567CE0"/>
    <w:rsid w:val="64A53C79"/>
    <w:rsid w:val="64B056DB"/>
    <w:rsid w:val="653228D5"/>
    <w:rsid w:val="66E0020D"/>
    <w:rsid w:val="66EE38B3"/>
    <w:rsid w:val="672F3D90"/>
    <w:rsid w:val="67CD07BB"/>
    <w:rsid w:val="68604BF4"/>
    <w:rsid w:val="68B50C01"/>
    <w:rsid w:val="697D5E5E"/>
    <w:rsid w:val="6A223327"/>
    <w:rsid w:val="6AA8623A"/>
    <w:rsid w:val="6AB57AD5"/>
    <w:rsid w:val="6AE6747D"/>
    <w:rsid w:val="6B43012E"/>
    <w:rsid w:val="6C70403A"/>
    <w:rsid w:val="6D8C667A"/>
    <w:rsid w:val="6E081275"/>
    <w:rsid w:val="6E115116"/>
    <w:rsid w:val="6E380CA9"/>
    <w:rsid w:val="6ED83B81"/>
    <w:rsid w:val="6F903695"/>
    <w:rsid w:val="6FE119BD"/>
    <w:rsid w:val="702A15FF"/>
    <w:rsid w:val="70BD0F44"/>
    <w:rsid w:val="71101522"/>
    <w:rsid w:val="71F80518"/>
    <w:rsid w:val="72382557"/>
    <w:rsid w:val="72436FB6"/>
    <w:rsid w:val="73835B08"/>
    <w:rsid w:val="7510381F"/>
    <w:rsid w:val="75513462"/>
    <w:rsid w:val="762829C7"/>
    <w:rsid w:val="771F0F75"/>
    <w:rsid w:val="77BE76AC"/>
    <w:rsid w:val="78307404"/>
    <w:rsid w:val="784E3D78"/>
    <w:rsid w:val="78563AD1"/>
    <w:rsid w:val="78BB3FCB"/>
    <w:rsid w:val="791D0341"/>
    <w:rsid w:val="79443DEE"/>
    <w:rsid w:val="799C6F52"/>
    <w:rsid w:val="79CB4820"/>
    <w:rsid w:val="79FD271F"/>
    <w:rsid w:val="7A1265E8"/>
    <w:rsid w:val="7A40154C"/>
    <w:rsid w:val="7AEF049E"/>
    <w:rsid w:val="7B353425"/>
    <w:rsid w:val="7B3B03DB"/>
    <w:rsid w:val="7CF43360"/>
    <w:rsid w:val="7CF453C9"/>
    <w:rsid w:val="7DE937B1"/>
    <w:rsid w:val="7E044A28"/>
    <w:rsid w:val="7E082285"/>
    <w:rsid w:val="7E2F5D41"/>
    <w:rsid w:val="7E6873BC"/>
    <w:rsid w:val="7EC52BD7"/>
    <w:rsid w:val="7EE25384"/>
    <w:rsid w:val="7F4065F0"/>
    <w:rsid w:val="7F550FF3"/>
    <w:rsid w:val="7F767871"/>
    <w:rsid w:val="7F831FEA"/>
    <w:rsid w:val="7FB72B6A"/>
    <w:rsid w:val="7FBA7989"/>
    <w:rsid w:val="7FC46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2C54DCB">
          <w:pPr>
            <w:pStyle w:val="4"/>
          </w:pPr>
          <w:r>
            <w:t>Job Title</w:t>
          </w:r>
        </w:p>
      </w:docPartBody>
    </w:docPart>
    <w:docPart>
      <w:docPartPr>
        <w:name w:val="E0A4C229F0784AB08712B8A6A6FE5340"/>
        <w:style w:val=""/>
        <w:category>
          <w:name w:val="General"/>
          <w:gallery w:val="placeholder"/>
        </w:category>
        <w:types>
          <w:type w:val="bbPlcHdr"/>
        </w:types>
        <w:behaviors>
          <w:behavior w:val="content"/>
        </w:behaviors>
        <w:description w:val=""/>
        <w:guid w:val="{47752AA6-72A2-4C8A-871C-C4B4852E563F}"/>
      </w:docPartPr>
      <w:docPartBody>
        <w:p w14:paraId="515322A6">
          <w:pPr>
            <w:pStyle w:val="10"/>
          </w:pPr>
          <w:r>
            <w:t>Job Code/ Req#</w:t>
          </w:r>
        </w:p>
      </w:docPartBody>
    </w:docPart>
    <w:docPart>
      <w:docPartPr>
        <w:name w:val="0DA25137067A46338A00D0A852924022"/>
        <w:style w:val=""/>
        <w:category>
          <w:name w:val="General"/>
          <w:gallery w:val="placeholder"/>
        </w:category>
        <w:types>
          <w:type w:val="bbPlcHdr"/>
        </w:types>
        <w:behaviors>
          <w:behavior w:val="content"/>
        </w:behaviors>
        <w:description w:val=""/>
        <w:guid w:val="{E0480C3F-CA66-471B-B0F5-74CA3601F91D}"/>
      </w:docPartPr>
      <w:docPartBody>
        <w:p w14:paraId="21A08A3C">
          <w:pPr>
            <w:pStyle w:val="12"/>
          </w:pPr>
          <w:r>
            <w:t>Location</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6A2B7371">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78578574">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5D6FB171">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1B46E52C">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1649C64A">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5D5439D9">
          <w:pPr>
            <w:pStyle w:val="68"/>
          </w:pPr>
          <w:r>
            <w:t>Date/Time</w:t>
          </w:r>
        </w:p>
      </w:docPartBody>
    </w:docPart>
    <w:docPart>
      <w:docPartPr>
        <w:name w:val="{ea76a0be-7975-47b5-8ac9-ac9e3450f776}"/>
        <w:style w:val=""/>
        <w:category>
          <w:name w:val="General"/>
          <w:gallery w:val="placeholder"/>
        </w:category>
        <w:types>
          <w:type w:val="bbPlcHdr"/>
        </w:types>
        <w:behaviors>
          <w:behavior w:val="content"/>
        </w:behaviors>
        <w:description w:val=""/>
        <w:guid w:val="{ea76a0be-7975-47b5-8ac9-ac9e3450f776}"/>
      </w:docPartPr>
      <w:docPartBody>
        <w:p w14:paraId="47CE15C5">
          <w:pPr>
            <w:pStyle w:val="18"/>
          </w:pPr>
          <w:r>
            <w:t>Position Type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5</Pages>
  <Words>436</Words>
  <Characters>2490</Characters>
  <Lines>20</Lines>
  <Paragraphs>5</Paragraphs>
  <TotalTime>10</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2025-01-07T19:29:00Z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B81F25D26BC84C688E4A96842DCF6148_13</vt:lpwstr>
  </property>
</Properties>
</file>