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72"/>
        <w:gridCol w:w="2567"/>
        <w:gridCol w:w="1956"/>
        <w:gridCol w:w="267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72"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567"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IN-IDOH-Data Analyst</w:t>
            </w:r>
          </w:p>
        </w:tc>
        <w:tc>
          <w:tcPr>
            <w:tcW w:w="1956"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672"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567"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956"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672"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755276</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72"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567" w:type="dxa"/>
          </w:tcPr>
          <w:p w14:paraId="220E284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52699B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Hybrid, required onsite at least 1 day a week. </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Work location: 2 N. Meridian St. Indianapolis IN 46204</w:t>
            </w:r>
          </w:p>
        </w:tc>
        <w:tc>
          <w:tcPr>
            <w:tcW w:w="1956"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672" w:type="dxa"/>
          </w:tcPr>
          <w:p w14:paraId="4F07A7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567"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956"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672"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02/03/2025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567"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956"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672"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09/28/2025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567"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956"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672" w:type="dxa"/>
          </w:tcPr>
          <w:p w14:paraId="0EA7D68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01/14/2025</w:t>
            </w:r>
          </w:p>
          <w:p w14:paraId="03C7A7D0">
            <w:pPr>
              <w:keepNext w:val="0"/>
              <w:keepLines w:val="0"/>
              <w:widowControl/>
              <w:suppressLineNumbers w:val="0"/>
              <w:jc w:val="left"/>
              <w:rPr>
                <w:rFonts w:hint="default" w:asciiTheme="minorAscii" w:hAnsiTheme="minorAscii"/>
                <w:sz w:val="24"/>
                <w:szCs w:val="24"/>
                <w:lang w:val="en-IN"/>
              </w:rPr>
            </w:pP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567"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956" w:type="dxa"/>
            <w:shd w:val="clear" w:color="auto" w:fill="F1F1F1" w:themeFill="background1" w:themeFillShade="F2"/>
          </w:tcPr>
          <w:p w14:paraId="0AFF6AF0">
            <w:pPr>
              <w:bidi w:val="0"/>
              <w:rPr>
                <w:rFonts w:hint="default" w:asciiTheme="minorAscii" w:hAnsiTheme="minorAscii"/>
                <w:b/>
                <w:bCs/>
                <w:sz w:val="24"/>
                <w:szCs w:val="24"/>
                <w:lang w:val="en-IN" w:eastAsia="zh-CN"/>
              </w:rPr>
            </w:pPr>
          </w:p>
        </w:tc>
        <w:tc>
          <w:tcPr>
            <w:tcW w:w="2672" w:type="dxa"/>
          </w:tcPr>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7FCA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17C2DF67">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567" w:type="dxa"/>
          </w:tcPr>
          <w:p w14:paraId="62E63B1C">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$40.75/hr on C2C</w:t>
            </w:r>
          </w:p>
        </w:tc>
        <w:tc>
          <w:tcPr>
            <w:tcW w:w="1956" w:type="dxa"/>
            <w:shd w:val="clear" w:color="auto" w:fill="F1F1F1" w:themeFill="background1" w:themeFillShade="F2"/>
          </w:tcPr>
          <w:p w14:paraId="425C0DE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672" w:type="dxa"/>
          </w:tcPr>
          <w:p w14:paraId="312C36A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asciiTheme="minorAscii" w:hAnsiTheme="minorAscii"/>
                <w:color w:val="000000"/>
                <w:kern w:val="0"/>
                <w:sz w:val="24"/>
                <w:szCs w:val="24"/>
                <w:lang w:val="en-US" w:eastAsia="zh-C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317D9859">
            <w:pPr>
              <w:keepNext w:val="0"/>
              <w:keepLines w:val="0"/>
              <w:widowControl/>
              <w:suppressLineNumbers w:val="0"/>
              <w:ind w:left="1928" w:hanging="1928" w:hangingChars="800"/>
              <w:jc w:val="left"/>
              <w:rPr>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ascii="Calibri" w:hAnsi="Calibri" w:eastAsia="SimSun" w:cs="Calibri"/>
                <w:color w:val="000000"/>
                <w:kern w:val="0"/>
                <w:sz w:val="24"/>
                <w:szCs w:val="24"/>
                <w:lang w:val="en-US" w:eastAsia="zh-CN" w:bidi="ar"/>
              </w:rPr>
              <w:t xml:space="preserve">Data Analyst role within the Office of Data and </w:t>
            </w:r>
            <w:r>
              <w:rPr>
                <w:rFonts w:ascii="Calibri" w:hAnsi="Calibri" w:eastAsia="SimSun" w:cs="Calibri"/>
                <w:color w:val="000000"/>
                <w:kern w:val="0"/>
                <w:sz w:val="24"/>
                <w:szCs w:val="24"/>
                <w:lang w:val="en-IN" w:eastAsia="zh-CN" w:bidi="ar"/>
              </w:rPr>
              <w:t>Analytic</w:t>
            </w:r>
            <w:r>
              <w:rPr>
                <w:rFonts w:ascii="Calibri" w:hAnsi="Calibri" w:eastAsia="SimSun" w:cs="Calibri"/>
                <w:color w:val="000000"/>
                <w:kern w:val="0"/>
                <w:sz w:val="24"/>
                <w:szCs w:val="24"/>
                <w:lang w:val="en-US" w:eastAsia="zh-CN" w:bidi="ar"/>
              </w:rPr>
              <w:t xml:space="preserve"> (ODA) Data Visualization </w:t>
            </w:r>
            <w:r>
              <w:rPr>
                <w:rFonts w:hint="default" w:ascii="Calibri" w:hAnsi="Calibri" w:eastAsia="SimSun" w:cs="Calibri"/>
                <w:color w:val="000000"/>
                <w:kern w:val="0"/>
                <w:sz w:val="24"/>
                <w:szCs w:val="24"/>
                <w:lang w:val="en-US" w:eastAsia="zh-CN" w:bidi="ar"/>
              </w:rPr>
              <w:t>&amp; Data Science teams will support the management, analysis, interpretation, and reporting of data for public health insight.</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6E6FCA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Data Analyst will conduct general data analysis, contribute to complex data analysis, complete data quality checks, build visualization and reports, present key findings, and support the work of the Tobacco Prevention and Cessation program (TPC) as well as the Healthcare Associated Infection-Antimicrobial Resistance (HAIAR) program in partnership with ODA. </w:t>
            </w:r>
          </w:p>
          <w:p w14:paraId="756EDC8E">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Essential Duties/Responsibilities: </w:t>
            </w:r>
          </w:p>
          <w:p w14:paraId="5C36814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Using </w:t>
            </w:r>
            <w:r>
              <w:rPr>
                <w:rFonts w:hint="default" w:eastAsia="SimSun" w:cs="Arial" w:asciiTheme="minorAscii" w:hAnsiTheme="minorAscii"/>
                <w:color w:val="000000"/>
                <w:kern w:val="0"/>
                <w:sz w:val="24"/>
                <w:szCs w:val="24"/>
                <w:lang w:val="en-IN" w:eastAsia="zh-CN" w:bidi="ar"/>
              </w:rPr>
              <w:t>epidemiology</w:t>
            </w:r>
            <w:r>
              <w:rPr>
                <w:rFonts w:hint="default" w:eastAsia="SimSun" w:cs="Arial" w:asciiTheme="minorAscii" w:hAnsiTheme="minorAscii"/>
                <w:color w:val="000000"/>
                <w:kern w:val="0"/>
                <w:sz w:val="24"/>
                <w:szCs w:val="24"/>
                <w:lang w:val="en-US" w:eastAsia="zh-CN" w:bidi="ar"/>
              </w:rPr>
              <w:t xml:space="preserve"> strategies, interpret and analyze data using statistical techniques and aid in providing ongoing oral and written reports to guide in decisionmaking. </w:t>
            </w:r>
          </w:p>
          <w:p w14:paraId="3CDF1C9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Perform analyses with survey data via SAS, including the Behavioral Risk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Factor Surveillance System (BRFSS) and Youth Tobacco Survey data </w:t>
            </w:r>
          </w:p>
          <w:p w14:paraId="38F987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Perform analyses with large healthcare datasets, including hospital discharge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and long-term care facility data </w:t>
            </w:r>
          </w:p>
          <w:p w14:paraId="2FA008E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Possess knowledge of survey data and statistical regression analyses </w:t>
            </w:r>
          </w:p>
          <w:p w14:paraId="37D70F1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perform statistical calculations on datasets, including age-adjusted rates </w:t>
            </w:r>
          </w:p>
          <w:p w14:paraId="638FF503">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create data visualizations in Tableau, including knowledge of basic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data preparation, cleaning, merging, and relationship joins </w:t>
            </w:r>
          </w:p>
          <w:p w14:paraId="5EB9719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design research questions related to testing the effectiveness of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public health programs or interventions </w:t>
            </w:r>
          </w:p>
          <w:p w14:paraId="21808991">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create data reports, especially with Infection Control Assessment and Response (ICAR) data, antimicrobial stewardship data, and National Healthcare Safety Network (NHSN) data </w:t>
            </w:r>
          </w:p>
          <w:p w14:paraId="5E940D8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 Ability to use Microsoft Excel and SAS to support the creation of data reports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and</w:t>
            </w:r>
          </w:p>
          <w:p w14:paraId="650BE7A1">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visualizations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analyzing data and reporting relevant results in a professional non-academic setting.</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5C8D45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using Tableau for data</w:t>
                  </w:r>
                </w:p>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visualization</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w:t>
                  </w: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using SAS for data analysis and reporting</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w:t>
                  </w: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use Microsoft Office Suite (Word, PowerPoint, Excel) independently in a professional setting</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2</w:t>
                  </w: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using R or Python for data analysis and reporting</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using SQL to query a relational database</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Exceptional communication skills, both oral and written</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work in a team environment with multiple and fluid demands</w:t>
                  </w:r>
                </w:p>
              </w:tc>
              <w:tc>
                <w:tcPr>
                  <w:tcW w:w="2137" w:type="dxa"/>
                </w:tcPr>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2CD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497D6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Exceptional analytical, conceptual, and problem-solving abilities</w:t>
                  </w:r>
                </w:p>
              </w:tc>
              <w:tc>
                <w:tcPr>
                  <w:tcW w:w="2137" w:type="dxa"/>
                </w:tcPr>
                <w:p w14:paraId="16DC106F">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3DABEF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AE5EEF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291C4767">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Candidate must currently be local to Indianapolis. Please provide the address the candidate resides.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Resource must be available for a webcam interview. Please confirm the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resource understands this requirement.</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Resource will be required to work a hybrid schedule with the ability to work in the office at least one day a week. Please confirm the resource understands this requirement.</w:t>
                  </w:r>
                </w:p>
              </w:tc>
            </w:tr>
          </w:tbl>
          <w:p w14:paraId="6617EA72">
            <w:pPr>
              <w:rPr>
                <w:rFonts w:hint="default"/>
                <w:b/>
                <w:bCs/>
                <w:sz w:val="24"/>
                <w:szCs w:val="24"/>
                <w:lang w:val="en-IN" w:eastAsia="zh-CN"/>
              </w:rPr>
            </w:pPr>
            <w:bookmarkStart w:id="0" w:name="_GoBack"/>
            <w:bookmarkEnd w:id="0"/>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01/08/2025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01/08/2025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01/08/2025</w:t>
            </w:r>
          </w:p>
        </w:tc>
      </w:tr>
    </w:tbl>
    <w:p w14:paraId="7F83414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396D21"/>
    <w:rsid w:val="138D2A8E"/>
    <w:rsid w:val="141615C4"/>
    <w:rsid w:val="142E3EF1"/>
    <w:rsid w:val="14506849"/>
    <w:rsid w:val="14576266"/>
    <w:rsid w:val="14C53172"/>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A53FA2"/>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2025-01-08T20:33:13Z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A585FC77B4C0466592227D49F2AF635A_13</vt:lpwstr>
  </property>
</Properties>
</file>