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 w:val="22"/>
                <w:szCs w:val="22"/>
              </w:rPr>
            </w:pPr>
            <w:r>
              <w:rPr>
                <w:b/>
                <w:bCs/>
                <w:sz w:val="22"/>
                <w:szCs w:val="22"/>
              </w:rPr>
              <w:t>Job ID</w:t>
            </w:r>
            <w:r>
              <w:rPr>
                <w:rFonts w:hint="default"/>
                <w:b/>
                <w:bCs/>
                <w:sz w:val="22"/>
                <w:szCs w:val="22"/>
                <w:lang w:val="en-IN"/>
              </w:rPr>
              <w:t xml:space="preserve"> </w:t>
            </w:r>
            <w:r>
              <w:rPr>
                <w:b/>
                <w:bCs/>
                <w:sz w:val="22"/>
                <w:szCs w:val="22"/>
              </w:rPr>
              <w:t>:</w:t>
            </w:r>
          </w:p>
        </w:tc>
        <w:tc>
          <w:tcPr>
            <w:tcW w:w="2584" w:type="dxa"/>
          </w:tcPr>
          <w:p w14:paraId="55A9828B">
            <w:pPr>
              <w:bidi w:val="0"/>
              <w:rPr>
                <w:rFonts w:hint="default"/>
                <w:lang w:val="en-IN"/>
              </w:rPr>
            </w:pPr>
            <w:r>
              <w:t>RS133710</w:t>
            </w:r>
            <w:bookmarkStart w:id="0" w:name="_GoBack"/>
            <w:bookmarkEnd w:id="0"/>
            <w:r>
              <w:rPr>
                <w:rFonts w:hint="default"/>
              </w:rPr>
              <w:t> </w:t>
            </w:r>
          </w:p>
        </w:tc>
        <w:tc>
          <w:tcPr>
            <w:tcW w:w="2060" w:type="dxa"/>
            <w:shd w:val="clear" w:color="auto" w:fill="F1F1F1" w:themeFill="background1" w:themeFillShade="F2"/>
          </w:tcPr>
          <w:p w14:paraId="7F595BB1">
            <w:pPr>
              <w:bidi w:val="0"/>
              <w:rPr>
                <w:sz w:val="22"/>
                <w:szCs w:val="22"/>
              </w:rPr>
            </w:pPr>
            <w:r>
              <w:rPr>
                <w:b/>
                <w:bCs/>
                <w:sz w:val="22"/>
                <w:szCs w:val="22"/>
              </w:rPr>
              <w:t>Job Title</w:t>
            </w:r>
          </w:p>
        </w:tc>
        <w:tc>
          <w:tcPr>
            <w:tcW w:w="2748" w:type="dxa"/>
          </w:tcPr>
          <w:p w14:paraId="75405AC2">
            <w:pPr>
              <w:bidi w:val="0"/>
              <w:rPr>
                <w:rFonts w:hint="default"/>
                <w:sz w:val="22"/>
                <w:szCs w:val="22"/>
                <w:lang w:val="en-IN"/>
              </w:rPr>
            </w:pPr>
            <w:r>
              <w:rPr>
                <w:sz w:val="22"/>
                <w:szCs w:val="22"/>
              </w:rPr>
              <w:t>Security Analyst</w:t>
            </w:r>
            <w:r>
              <w:rPr>
                <w:rFonts w:hint="default"/>
                <w:sz w:val="22"/>
                <w:szCs w:val="22"/>
                <w:lang w:val="en-IN"/>
              </w:rPr>
              <w:t xml:space="preserve"> </w:t>
            </w:r>
            <w:r>
              <w:rPr>
                <w:sz w:val="22"/>
                <w:szCs w:val="22"/>
              </w:rPr>
              <w:t>3</w:t>
            </w:r>
            <w:r>
              <w:rPr>
                <w:rFonts w:hint="default"/>
                <w:sz w:val="22"/>
                <w:szCs w:val="22"/>
              </w:rPr>
              <w:t> </w:t>
            </w:r>
            <w:r>
              <w:rPr>
                <w:sz w:val="22"/>
                <w:szCs w:val="22"/>
              </w:rPr>
              <w:t>Vulnerability</w:t>
            </w:r>
            <w:r>
              <w:rPr>
                <w:rFonts w:hint="default"/>
                <w:sz w:val="22"/>
                <w:szCs w:val="22"/>
                <w:lang w:val="en-IN"/>
              </w:rPr>
              <w:t xml:space="preserve"> </w:t>
            </w:r>
            <w:r>
              <w:rPr>
                <w:sz w:val="22"/>
                <w:szCs w:val="22"/>
              </w:rPr>
              <w:t>Management Team</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 w:val="22"/>
                <w:szCs w:val="22"/>
                <w:lang w:val="en-IN"/>
              </w:rPr>
            </w:pPr>
            <w:r>
              <w:rPr>
                <w:rFonts w:hint="default"/>
                <w:b/>
                <w:bCs/>
                <w:sz w:val="22"/>
                <w:szCs w:val="22"/>
                <w:lang w:val="en-IN"/>
              </w:rPr>
              <w:t>No.of Positions :</w:t>
            </w:r>
          </w:p>
        </w:tc>
        <w:tc>
          <w:tcPr>
            <w:tcW w:w="2584" w:type="dxa"/>
          </w:tcPr>
          <w:p w14:paraId="5E642CED">
            <w:pPr>
              <w:bidi w:val="0"/>
              <w:rPr>
                <w:rFonts w:hint="default"/>
                <w:lang w:val="en-IN"/>
              </w:rPr>
            </w:pPr>
            <w:r>
              <w:rPr>
                <w:rFonts w:hint="default"/>
                <w:lang w:val="en-IN"/>
              </w:rPr>
              <w:t>1</w:t>
            </w:r>
          </w:p>
        </w:tc>
        <w:tc>
          <w:tcPr>
            <w:tcW w:w="2060" w:type="dxa"/>
            <w:shd w:val="clear" w:color="auto" w:fill="F1F1F1" w:themeFill="background1" w:themeFillShade="F2"/>
          </w:tcPr>
          <w:p w14:paraId="5C2761A0">
            <w:pPr>
              <w:pStyle w:val="3"/>
              <w:rPr>
                <w:rFonts w:hint="default"/>
                <w:sz w:val="22"/>
                <w:szCs w:val="22"/>
                <w:lang w:val="en-IN"/>
              </w:rPr>
            </w:pPr>
            <w:r>
              <w:rPr>
                <w:rFonts w:hint="default"/>
                <w:sz w:val="22"/>
                <w:szCs w:val="22"/>
                <w:lang w:val="en-IN"/>
              </w:rPr>
              <w:t>Position Type :</w:t>
            </w:r>
          </w:p>
        </w:tc>
        <w:tc>
          <w:tcPr>
            <w:tcW w:w="2748" w:type="dxa"/>
          </w:tcPr>
          <w:p w14:paraId="0A6B625E">
            <w:pPr>
              <w:bidi w:val="0"/>
              <w:rPr>
                <w:rFonts w:hint="default"/>
                <w:sz w:val="22"/>
                <w:szCs w:val="22"/>
                <w:lang w:val="en-IN"/>
              </w:rPr>
            </w:pPr>
            <w:r>
              <w:rPr>
                <w:rFonts w:hint="default"/>
                <w:sz w:val="22"/>
                <w:szCs w:val="22"/>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 w:val="22"/>
                <w:szCs w:val="22"/>
                <w:lang w:val="en-IN"/>
              </w:rPr>
            </w:pPr>
            <w:r>
              <w:rPr>
                <w:rFonts w:hint="default"/>
                <w:b/>
                <w:bCs/>
                <w:sz w:val="22"/>
                <w:szCs w:val="22"/>
              </w:rPr>
              <w:t>Projected Start Date</w:t>
            </w:r>
            <w:r>
              <w:rPr>
                <w:rFonts w:hint="default"/>
                <w:b/>
                <w:bCs/>
                <w:sz w:val="22"/>
                <w:szCs w:val="22"/>
                <w:lang w:val="en-IN"/>
              </w:rPr>
              <w:t xml:space="preserve"> :</w:t>
            </w:r>
          </w:p>
        </w:tc>
        <w:tc>
          <w:tcPr>
            <w:tcW w:w="2584" w:type="dxa"/>
          </w:tcPr>
          <w:p w14:paraId="612A5FD2">
            <w:pPr>
              <w:bidi w:val="0"/>
              <w:rPr>
                <w:rFonts w:hint="default"/>
                <w:lang w:val="en-IN" w:eastAsia="zh-CN"/>
              </w:rPr>
            </w:pPr>
            <w:r>
              <w:rPr>
                <w:rFonts w:hint="default"/>
              </w:rPr>
              <w:t>08-19-2024</w:t>
            </w:r>
          </w:p>
        </w:tc>
        <w:tc>
          <w:tcPr>
            <w:tcW w:w="2060" w:type="dxa"/>
            <w:shd w:val="clear" w:color="auto" w:fill="F1F1F1" w:themeFill="background1" w:themeFillShade="F2"/>
          </w:tcPr>
          <w:p w14:paraId="15035B9B">
            <w:pPr>
              <w:pStyle w:val="3"/>
              <w:rPr>
                <w:sz w:val="22"/>
                <w:szCs w:val="22"/>
              </w:rPr>
            </w:pPr>
            <w:r>
              <w:rPr>
                <w:rFonts w:hint="default"/>
                <w:sz w:val="22"/>
                <w:szCs w:val="22"/>
                <w:lang w:val="en-IN"/>
              </w:rPr>
              <w:t xml:space="preserve">Client </w:t>
            </w:r>
            <w:r>
              <w:rPr>
                <w:sz w:val="22"/>
                <w:szCs w:val="22"/>
              </w:rPr>
              <w:t>:</w:t>
            </w:r>
          </w:p>
        </w:tc>
        <w:tc>
          <w:tcPr>
            <w:tcW w:w="2748" w:type="dxa"/>
          </w:tcPr>
          <w:p w14:paraId="4BFF66E0">
            <w:pPr>
              <w:bidi w:val="0"/>
              <w:rPr>
                <w:rFonts w:hint="default"/>
                <w:sz w:val="22"/>
                <w:szCs w:val="22"/>
                <w:lang w:val="en-IN"/>
              </w:rPr>
            </w:pPr>
            <w:r>
              <w:rPr>
                <w:sz w:val="22"/>
                <w:szCs w:val="22"/>
              </w:rPr>
              <w:t>State of Michigan</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 w:val="22"/>
                <w:szCs w:val="22"/>
                <w:lang w:val="en-IN"/>
              </w:rPr>
            </w:pPr>
            <w:r>
              <w:rPr>
                <w:rFonts w:hint="default"/>
                <w:b/>
                <w:bCs/>
                <w:sz w:val="22"/>
                <w:szCs w:val="22"/>
              </w:rPr>
              <w:t>Projected End Date</w:t>
            </w:r>
            <w:r>
              <w:rPr>
                <w:rFonts w:hint="default"/>
                <w:b/>
                <w:bCs/>
                <w:sz w:val="22"/>
                <w:szCs w:val="22"/>
                <w:lang w:val="en-IN"/>
              </w:rPr>
              <w:t xml:space="preserve"> :</w:t>
            </w:r>
          </w:p>
        </w:tc>
        <w:tc>
          <w:tcPr>
            <w:tcW w:w="2584" w:type="dxa"/>
          </w:tcPr>
          <w:p w14:paraId="6462313E">
            <w:pPr>
              <w:bidi w:val="0"/>
              <w:rPr>
                <w:rFonts w:hint="default"/>
                <w:lang w:val="en-IN"/>
              </w:rPr>
            </w:pPr>
            <w:r>
              <w:rPr>
                <w:rFonts w:hint="default"/>
              </w:rPr>
              <w:t>07-31-2025</w:t>
            </w:r>
          </w:p>
        </w:tc>
        <w:tc>
          <w:tcPr>
            <w:tcW w:w="2060" w:type="dxa"/>
            <w:shd w:val="clear" w:color="auto" w:fill="F1F1F1" w:themeFill="background1" w:themeFillShade="F2"/>
          </w:tcPr>
          <w:p w14:paraId="4C681CD3">
            <w:pPr>
              <w:bidi w:val="0"/>
              <w:rPr>
                <w:rFonts w:hint="default"/>
                <w:sz w:val="22"/>
                <w:szCs w:val="22"/>
                <w:lang w:val="en-IN"/>
              </w:rPr>
            </w:pPr>
            <w:r>
              <w:rPr>
                <w:rFonts w:hint="default"/>
                <w:b/>
                <w:bCs/>
                <w:sz w:val="22"/>
                <w:szCs w:val="22"/>
                <w:lang w:val="en-IN"/>
              </w:rPr>
              <w:t xml:space="preserve">Primary Skills: </w:t>
            </w:r>
          </w:p>
        </w:tc>
        <w:tc>
          <w:tcPr>
            <w:tcW w:w="2748" w:type="dxa"/>
          </w:tcPr>
          <w:p w14:paraId="1214BADE">
            <w:pPr>
              <w:bidi w:val="0"/>
              <w:rPr>
                <w:rFonts w:hint="default"/>
                <w:sz w:val="22"/>
                <w:szCs w:val="22"/>
                <w:lang w:val="en-IN"/>
              </w:rPr>
            </w:pPr>
            <w:r>
              <w:rPr>
                <w:rFonts w:hint="default"/>
                <w:sz w:val="22"/>
                <w:szCs w:val="22"/>
                <w:lang w:val="en-IN"/>
              </w:rPr>
              <w:t>Network Security</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 w:val="22"/>
                <w:szCs w:val="22"/>
                <w:lang w:val="en-IN"/>
              </w:rPr>
            </w:pPr>
            <w:r>
              <w:rPr>
                <w:b/>
                <w:bCs/>
                <w:sz w:val="22"/>
                <w:szCs w:val="22"/>
              </w:rPr>
              <w:t>Work Location (City/State)</w:t>
            </w:r>
            <w:r>
              <w:rPr>
                <w:rFonts w:hint="default"/>
                <w:b/>
                <w:bCs/>
                <w:sz w:val="22"/>
                <w:szCs w:val="22"/>
                <w:lang w:val="en-IN"/>
              </w:rPr>
              <w:t xml:space="preserve"> :</w:t>
            </w:r>
          </w:p>
        </w:tc>
        <w:tc>
          <w:tcPr>
            <w:tcW w:w="2584" w:type="dxa"/>
          </w:tcPr>
          <w:p w14:paraId="207E4F4E">
            <w:pPr>
              <w:bidi w:val="0"/>
              <w:rPr>
                <w:rFonts w:hint="default"/>
                <w:lang w:val="en-IN"/>
              </w:rPr>
            </w:pPr>
            <w:r>
              <w:rPr>
                <w:rFonts w:hint="default"/>
              </w:rPr>
              <w:t>Dimondale, MI</w:t>
            </w:r>
          </w:p>
        </w:tc>
        <w:tc>
          <w:tcPr>
            <w:tcW w:w="2060" w:type="dxa"/>
            <w:shd w:val="clear" w:color="auto" w:fill="F1F1F1" w:themeFill="background1" w:themeFillShade="F2"/>
          </w:tcPr>
          <w:p w14:paraId="5B7712EC">
            <w:pPr>
              <w:bidi w:val="0"/>
              <w:rPr>
                <w:rFonts w:hint="default"/>
                <w:sz w:val="22"/>
                <w:szCs w:val="22"/>
                <w:lang w:val="en-IN"/>
              </w:rPr>
            </w:pPr>
            <w:r>
              <w:rPr>
                <w:rFonts w:hint="default"/>
                <w:b/>
                <w:bCs/>
                <w:sz w:val="22"/>
                <w:szCs w:val="22"/>
                <w:lang w:val="en-IN"/>
              </w:rPr>
              <w:t>Remote Work :</w:t>
            </w:r>
          </w:p>
        </w:tc>
        <w:tc>
          <w:tcPr>
            <w:tcW w:w="2748" w:type="dxa"/>
          </w:tcPr>
          <w:p w14:paraId="25393BDB">
            <w:pPr>
              <w:bidi w:val="0"/>
              <w:rPr>
                <w:rFonts w:hint="default"/>
                <w:sz w:val="22"/>
                <w:szCs w:val="22"/>
                <w:lang w:val="en-IN"/>
              </w:rPr>
            </w:pPr>
            <w:r>
              <w:rPr>
                <w:rFonts w:hint="default"/>
                <w:sz w:val="22"/>
                <w:szCs w:val="22"/>
                <w:lang w:val="en-IN"/>
              </w:rPr>
              <w:t>Partial</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sz w:val="22"/>
                <w:szCs w:val="22"/>
                <w:lang w:val="en-IN"/>
              </w:rPr>
            </w:pPr>
            <w:r>
              <w:rPr>
                <w:rFonts w:hint="default"/>
                <w:b/>
                <w:bCs/>
                <w:sz w:val="22"/>
                <w:szCs w:val="22"/>
                <w:lang w:val="en-IN"/>
              </w:rPr>
              <w:t>Level/Salary Range :</w:t>
            </w:r>
          </w:p>
        </w:tc>
        <w:tc>
          <w:tcPr>
            <w:tcW w:w="2584" w:type="dxa"/>
          </w:tcPr>
          <w:p w14:paraId="6A40234B">
            <w:pPr>
              <w:bidi w:val="0"/>
              <w:rPr>
                <w:rFonts w:hint="default"/>
                <w:lang w:val="en-IN"/>
              </w:rPr>
            </w:pPr>
            <w:r>
              <w:t>$34 to $39/hr on W2</w:t>
            </w:r>
          </w:p>
        </w:tc>
        <w:tc>
          <w:tcPr>
            <w:tcW w:w="2060" w:type="dxa"/>
            <w:shd w:val="clear" w:color="auto" w:fill="F1F1F1" w:themeFill="background1" w:themeFillShade="F2"/>
          </w:tcPr>
          <w:p w14:paraId="726B5E38">
            <w:pPr>
              <w:bidi w:val="0"/>
              <w:rPr>
                <w:rFonts w:hint="default"/>
                <w:b/>
                <w:bCs/>
                <w:sz w:val="22"/>
                <w:szCs w:val="22"/>
                <w:lang w:val="en-IN"/>
              </w:rPr>
            </w:pPr>
            <w:r>
              <w:rPr>
                <w:rFonts w:hint="default"/>
                <w:b/>
                <w:bCs/>
                <w:sz w:val="22"/>
                <w:szCs w:val="22"/>
                <w:lang w:val="en-IN"/>
              </w:rPr>
              <w:t>Send Resumes to :</w:t>
            </w:r>
          </w:p>
        </w:tc>
        <w:tc>
          <w:tcPr>
            <w:tcW w:w="2748" w:type="dxa"/>
          </w:tcPr>
          <w:p w14:paraId="6C8E6C70">
            <w:pPr>
              <w:bidi w:val="0"/>
              <w:rPr>
                <w:rFonts w:hint="default"/>
                <w:sz w:val="22"/>
                <w:szCs w:val="22"/>
                <w:lang w:val="en-IN"/>
              </w:rPr>
            </w:pPr>
            <w:r>
              <w:rPr>
                <w:rFonts w:hint="default"/>
                <w:sz w:val="22"/>
                <w:szCs w:val="22"/>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1D0C09E">
            <w:pPr>
              <w:bidi w:val="0"/>
              <w:rPr>
                <w:rFonts w:hint="default"/>
                <w:b/>
                <w:bCs/>
                <w:sz w:val="22"/>
                <w:szCs w:val="22"/>
                <w:lang w:val="en-IN"/>
              </w:rPr>
            </w:pPr>
            <w:r>
              <w:rPr>
                <w:rFonts w:hint="default"/>
                <w:b/>
                <w:bCs/>
                <w:sz w:val="22"/>
                <w:szCs w:val="22"/>
                <w:lang w:val="en-IN"/>
              </w:rPr>
              <w:t>Talent must reside at location on submission?</w:t>
            </w:r>
          </w:p>
        </w:tc>
        <w:tc>
          <w:tcPr>
            <w:tcW w:w="2584" w:type="dxa"/>
          </w:tcPr>
          <w:p w14:paraId="4BC68540">
            <w:pPr>
              <w:bidi w:val="0"/>
              <w:rPr>
                <w:rFonts w:hint="default"/>
                <w:lang w:val="en-IN"/>
              </w:rPr>
            </w:pPr>
            <w:r>
              <w:rPr>
                <w:rFonts w:hint="default"/>
                <w:lang w:val="en-IN"/>
              </w:rPr>
              <w:t>Yes</w:t>
            </w:r>
          </w:p>
        </w:tc>
        <w:tc>
          <w:tcPr>
            <w:tcW w:w="2060" w:type="dxa"/>
            <w:shd w:val="clear" w:color="auto" w:fill="F1F1F1" w:themeFill="background1" w:themeFillShade="F2"/>
          </w:tcPr>
          <w:p w14:paraId="1C0FA5C8">
            <w:pPr>
              <w:bidi w:val="0"/>
              <w:rPr>
                <w:rFonts w:hint="default"/>
                <w:b/>
                <w:bCs/>
                <w:sz w:val="22"/>
                <w:szCs w:val="22"/>
                <w:lang w:val="en-IN"/>
              </w:rPr>
            </w:pPr>
          </w:p>
        </w:tc>
        <w:tc>
          <w:tcPr>
            <w:tcW w:w="2748" w:type="dxa"/>
          </w:tcPr>
          <w:p w14:paraId="16804C37">
            <w:pPr>
              <w:bidi w:val="0"/>
              <w:rPr>
                <w:rFonts w:hint="default"/>
                <w:sz w:val="22"/>
                <w:szCs w:val="22"/>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3942D2D">
            <w:pPr>
              <w:numPr>
                <w:ilvl w:val="0"/>
                <w:numId w:val="0"/>
              </w:numPr>
              <w:bidi w:val="0"/>
              <w:ind w:leftChars="0"/>
              <w:rPr>
                <w:rFonts w:hint="default"/>
                <w:b/>
                <w:bCs/>
                <w:sz w:val="22"/>
                <w:szCs w:val="22"/>
                <w:lang w:val="en-IN"/>
              </w:rPr>
            </w:pPr>
            <w:r>
              <w:rPr>
                <w:rFonts w:hint="default"/>
                <w:b/>
                <w:bCs/>
                <w:sz w:val="22"/>
                <w:szCs w:val="22"/>
                <w:lang w:val="en-IN"/>
              </w:rPr>
              <w:t>Job Description :</w:t>
            </w:r>
          </w:p>
          <w:p w14:paraId="6D8ABE66">
            <w:pPr>
              <w:numPr>
                <w:ilvl w:val="0"/>
                <w:numId w:val="0"/>
              </w:numPr>
              <w:bidi w:val="0"/>
              <w:ind w:left="110" w:leftChars="0" w:hanging="110" w:hangingChars="50"/>
              <w:rPr>
                <w:rFonts w:hint="default"/>
                <w:b/>
                <w:bCs/>
                <w:sz w:val="22"/>
                <w:szCs w:val="22"/>
                <w:lang w:val="en-IN"/>
              </w:rPr>
            </w:pPr>
            <w:r>
              <w:rPr>
                <w:rFonts w:hint="default"/>
                <w:b/>
                <w:bCs/>
                <w:sz w:val="22"/>
                <w:szCs w:val="22"/>
                <w:lang w:val="en-IN"/>
              </w:rPr>
              <w:t>Short Job Description</w:t>
            </w:r>
          </w:p>
          <w:p w14:paraId="69AB4187">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The Securityworks as Analyst position a member of the Vulnerability Management Team. The Senior Security Analyst position reviews and remediates cyber incidents and vulnerabilities found by IT level analysts to IT security specialists and managers to maintain the confidentiality, integrity, and availability of our Client data. </w:t>
            </w:r>
          </w:p>
          <w:p w14:paraId="544B7267">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Technical Security Analyst performing duties related to the Vulnerability Management team.  </w:t>
            </w:r>
          </w:p>
          <w:p w14:paraId="1CBC7867">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*Plans, schedules, implements, and maintains scalable vulnerability scans using modern vulnerability management scanning tools for high complexity devices.</w:t>
            </w:r>
          </w:p>
          <w:p w14:paraId="30CD5BA8">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*While ensuring safe and timely scanning that has minimal/no impact on scan targets,provides troubleshooting of technical issues with scans.</w:t>
            </w:r>
          </w:p>
          <w:p w14:paraId="0D08327E">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*Supports vulnerability management scanning and reporting tools.</w:t>
            </w:r>
          </w:p>
          <w:p w14:paraId="38A6CDA6">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*Conducts internal vulnerability audits of servers, network devices, applications, and other devices.</w:t>
            </w:r>
          </w:p>
          <w:p w14:paraId="6E9B5B7A">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*Interfaces with internal and external auditors, providing detailed information on remediation efforts.</w:t>
            </w:r>
          </w:p>
          <w:p w14:paraId="4629A0D9">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*Creates integration of vulnerability management data with other State of Michigan enterprise services.</w:t>
            </w:r>
          </w:p>
          <w:p w14:paraId="2FB3BD62">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*Conducts data analysis of vulnerability management data, often integrated with other data sources, to measure effectiveness of vulnerability remediation.  Data analysis tasks include large datasets, which include structured, semi-structured, and unstructured data.</w:t>
            </w:r>
          </w:p>
          <w:p w14:paraId="64779AD4">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*Interfaces with other agencies to make recommendations on how to improve the security posture and reduce the number of security related vulnerabilities.</w:t>
            </w:r>
          </w:p>
          <w:p w14:paraId="711D19E3">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*Conducts trend analysis, creates dashboards using data scripting to provide metrics on the performance of security responsibilities, controls, and creates new reports for management based on those collected metrics across multiple agencies.</w:t>
            </w:r>
          </w:p>
          <w:p w14:paraId="32020649">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*Escalates as appropriate.</w:t>
            </w:r>
          </w:p>
          <w:p w14:paraId="2E90C870">
            <w:pPr>
              <w:numPr>
                <w:ilvl w:val="0"/>
                <w:numId w:val="0"/>
              </w:numPr>
              <w:bidi w:val="0"/>
              <w:ind w:left="110" w:leftChars="0" w:hanging="110" w:hangingChars="50"/>
              <w:rPr>
                <w:rFonts w:hint="default"/>
                <w:b w:val="0"/>
                <w:bCs w:val="0"/>
                <w:sz w:val="22"/>
                <w:szCs w:val="22"/>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07/24/2024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07/24/2024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07/24/2024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81438B"/>
    <w:rsid w:val="08C94EA5"/>
    <w:rsid w:val="08F140A1"/>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367650"/>
    <w:rsid w:val="107034C4"/>
    <w:rsid w:val="10EA3794"/>
    <w:rsid w:val="110C400C"/>
    <w:rsid w:val="11246855"/>
    <w:rsid w:val="113608BC"/>
    <w:rsid w:val="11390861"/>
    <w:rsid w:val="11534BC6"/>
    <w:rsid w:val="116B4922"/>
    <w:rsid w:val="11721D0C"/>
    <w:rsid w:val="11BB5B18"/>
    <w:rsid w:val="12025568"/>
    <w:rsid w:val="124F6D85"/>
    <w:rsid w:val="127356AD"/>
    <w:rsid w:val="127A7949"/>
    <w:rsid w:val="12FA4E2A"/>
    <w:rsid w:val="1326382F"/>
    <w:rsid w:val="13480F79"/>
    <w:rsid w:val="135965E6"/>
    <w:rsid w:val="135D6293"/>
    <w:rsid w:val="13952C88"/>
    <w:rsid w:val="13E66FF6"/>
    <w:rsid w:val="13EC711D"/>
    <w:rsid w:val="13F93BD5"/>
    <w:rsid w:val="142E3EF1"/>
    <w:rsid w:val="14C62F49"/>
    <w:rsid w:val="150C15A8"/>
    <w:rsid w:val="15230A94"/>
    <w:rsid w:val="153001D9"/>
    <w:rsid w:val="159C1E27"/>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556C87"/>
    <w:rsid w:val="1F7673FD"/>
    <w:rsid w:val="1F7C6D62"/>
    <w:rsid w:val="1F80299E"/>
    <w:rsid w:val="1FD33F26"/>
    <w:rsid w:val="1FFF7B60"/>
    <w:rsid w:val="20504C90"/>
    <w:rsid w:val="2092578C"/>
    <w:rsid w:val="20933372"/>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413BAD"/>
    <w:rsid w:val="274F5805"/>
    <w:rsid w:val="27500F22"/>
    <w:rsid w:val="27571E4F"/>
    <w:rsid w:val="27C56912"/>
    <w:rsid w:val="27D30664"/>
    <w:rsid w:val="280C6D69"/>
    <w:rsid w:val="285A3122"/>
    <w:rsid w:val="286E0981"/>
    <w:rsid w:val="28C35484"/>
    <w:rsid w:val="28CC67A2"/>
    <w:rsid w:val="28D70140"/>
    <w:rsid w:val="293A5CF1"/>
    <w:rsid w:val="2943312E"/>
    <w:rsid w:val="29516AC1"/>
    <w:rsid w:val="29CF1F08"/>
    <w:rsid w:val="29EA2938"/>
    <w:rsid w:val="29EF58B6"/>
    <w:rsid w:val="2A34763F"/>
    <w:rsid w:val="2A603FB2"/>
    <w:rsid w:val="2A7F20D5"/>
    <w:rsid w:val="2AD45E38"/>
    <w:rsid w:val="2B1E2EF6"/>
    <w:rsid w:val="2B48250F"/>
    <w:rsid w:val="2B4861A3"/>
    <w:rsid w:val="2BC93A50"/>
    <w:rsid w:val="2C1F15BF"/>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A325AE"/>
    <w:rsid w:val="37D14C4E"/>
    <w:rsid w:val="38076D7F"/>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8520C4"/>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851681"/>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DB9272F"/>
    <w:rsid w:val="5DFA254A"/>
    <w:rsid w:val="5E432943"/>
    <w:rsid w:val="5E9A0437"/>
    <w:rsid w:val="5EC1536D"/>
    <w:rsid w:val="5EDC70C6"/>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D94E65"/>
    <w:rsid w:val="7B0018EC"/>
    <w:rsid w:val="7B296620"/>
    <w:rsid w:val="7B812D76"/>
    <w:rsid w:val="7B846F2D"/>
    <w:rsid w:val="7BAA2AB5"/>
    <w:rsid w:val="7BD454EF"/>
    <w:rsid w:val="7BEF58E8"/>
    <w:rsid w:val="7C025618"/>
    <w:rsid w:val="7C0719C9"/>
    <w:rsid w:val="7C0A1B44"/>
    <w:rsid w:val="7C0D0C4B"/>
    <w:rsid w:val="7CEA1218"/>
    <w:rsid w:val="7D845E81"/>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134</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2024-07-24T18:50:22Z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8B910DA40BE54DE6A5E65A225D9F410C_13</vt:lpwstr>
  </property>
</Properties>
</file>