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RS133711</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Cloud Architect - Salesforce Cloud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08-26-2024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rPr>
              <w:t>State of Michigan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rPr>
              <w:t>08-26-2025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Salesforce, 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Lansing, MI</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$54 to 59/hr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3942D2D">
            <w:pPr>
              <w:numPr>
                <w:ilvl w:val="0"/>
                <w:numId w:val="0"/>
              </w:numPr>
              <w:bidi w:val="0"/>
              <w:ind w:leftChars="0"/>
              <w:rPr>
                <w:rFonts w:hint="default"/>
                <w:b/>
                <w:bCs/>
                <w:sz w:val="22"/>
                <w:szCs w:val="22"/>
                <w:lang w:val="en-IN"/>
              </w:rPr>
            </w:pPr>
            <w:r>
              <w:rPr>
                <w:rFonts w:hint="default"/>
                <w:b/>
                <w:bCs/>
                <w:sz w:val="22"/>
                <w:szCs w:val="22"/>
                <w:lang w:val="en-IN"/>
              </w:rPr>
              <w:t>Job Description :</w:t>
            </w:r>
          </w:p>
          <w:p w14:paraId="3E1B3A8A">
            <w:pPr>
              <w:numPr>
                <w:ilvl w:val="0"/>
                <w:numId w:val="0"/>
              </w:numPr>
              <w:bidi w:val="0"/>
              <w:ind w:leftChars="0"/>
              <w:rPr>
                <w:rFonts w:hint="default"/>
                <w:b w:val="0"/>
                <w:bCs w:val="0"/>
                <w:sz w:val="22"/>
                <w:szCs w:val="22"/>
                <w:lang w:val="en-IN"/>
              </w:rPr>
            </w:pPr>
            <w:r>
              <w:rPr>
                <w:rFonts w:hint="default"/>
                <w:b w:val="0"/>
                <w:bCs w:val="0"/>
                <w:sz w:val="22"/>
                <w:szCs w:val="22"/>
                <w:lang w:val="en-IN"/>
              </w:rPr>
              <w:t>As a Salesforce Cloud Architect, you’ll be responsible for providing technical oversight for all new and existing SaaS (Salesforce) implementations for the Dept. of Licensing and Regulatory Affairs, at our client.</w:t>
            </w:r>
          </w:p>
          <w:p w14:paraId="2C0A871F">
            <w:pPr>
              <w:numPr>
                <w:ilvl w:val="0"/>
                <w:numId w:val="0"/>
              </w:numPr>
              <w:bidi w:val="0"/>
              <w:ind w:leftChars="0"/>
              <w:rPr>
                <w:rFonts w:hint="default"/>
                <w:b/>
                <w:bCs/>
                <w:sz w:val="22"/>
                <w:szCs w:val="22"/>
                <w:lang w:val="en-IN"/>
              </w:rPr>
            </w:pPr>
            <w:r>
              <w:rPr>
                <w:rFonts w:hint="default"/>
                <w:b/>
                <w:bCs/>
                <w:sz w:val="22"/>
                <w:szCs w:val="22"/>
                <w:lang w:val="en-IN"/>
              </w:rPr>
              <w:t>Responsibilities for this position include but are not limited to:</w:t>
            </w:r>
          </w:p>
          <w:p w14:paraId="0E83639D">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*Participate in vendor’s solution design sessions for client projects providing design guidance in areas such as extensions/modifications, data conversion, environment provisioning and application integration to ensure the vendor solution is efficient, cost-effective, and easily maintainable for SOM.</w:t>
            </w:r>
          </w:p>
          <w:p w14:paraId="16DE59CA">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*Work with the customer and end users to define technical requirements for new projects and any future enhancements.</w:t>
            </w:r>
          </w:p>
          <w:p w14:paraId="20213EC3">
            <w:pPr>
              <w:numPr>
                <w:ilvl w:val="0"/>
                <w:numId w:val="0"/>
              </w:numPr>
              <w:bidi w:val="0"/>
              <w:ind w:left="220" w:leftChars="0" w:hanging="220" w:hangingChars="100"/>
              <w:rPr>
                <w:rFonts w:hint="default"/>
                <w:b w:val="0"/>
                <w:bCs w:val="0"/>
                <w:sz w:val="22"/>
                <w:szCs w:val="22"/>
                <w:lang w:val="en-IN"/>
              </w:rPr>
            </w:pPr>
            <w:r>
              <w:rPr>
                <w:rFonts w:hint="default"/>
                <w:b w:val="0"/>
                <w:bCs w:val="0"/>
                <w:sz w:val="22"/>
                <w:szCs w:val="22"/>
                <w:lang w:val="en-IN"/>
              </w:rPr>
              <w:t>* Lead Technical workshops and design sessions with the Customer.</w:t>
            </w:r>
          </w:p>
          <w:p w14:paraId="05B4ECD5">
            <w:pPr>
              <w:numPr>
                <w:ilvl w:val="0"/>
                <w:numId w:val="0"/>
              </w:numPr>
              <w:bidi w:val="0"/>
              <w:ind w:leftChars="0"/>
              <w:rPr>
                <w:rFonts w:hint="default"/>
                <w:b w:val="0"/>
                <w:bCs w:val="0"/>
                <w:sz w:val="22"/>
                <w:szCs w:val="22"/>
                <w:lang w:val="en-IN"/>
              </w:rPr>
            </w:pPr>
            <w:r>
              <w:rPr>
                <w:rFonts w:hint="default"/>
                <w:b w:val="0"/>
                <w:bCs w:val="0"/>
                <w:sz w:val="22"/>
                <w:szCs w:val="22"/>
                <w:lang w:val="en-IN"/>
              </w:rPr>
              <w:t>*Propose/Articulate design/architecture options with pros/cons</w:t>
            </w:r>
          </w:p>
          <w:p w14:paraId="44A944B5">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*Ensure that the technical requirements tie back to the established customer requirements and performance goals and that the technical direction is consistent with the client’s long-term strategy.</w:t>
            </w:r>
          </w:p>
          <w:p w14:paraId="669090DE">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*Fully understand the capabilities and limitations of the technical environments of the applications used by the enterprise.</w:t>
            </w:r>
          </w:p>
          <w:p w14:paraId="7C69DA5F">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*Review technical architecture deliverables throughout development to ensure quality and requirements traceability.</w:t>
            </w:r>
          </w:p>
          <w:p w14:paraId="6ECB0B3F">
            <w:pPr>
              <w:numPr>
                <w:ilvl w:val="0"/>
                <w:numId w:val="0"/>
              </w:numPr>
              <w:bidi w:val="0"/>
              <w:ind w:leftChars="0"/>
              <w:rPr>
                <w:rFonts w:hint="default"/>
                <w:b w:val="0"/>
                <w:bCs w:val="0"/>
                <w:sz w:val="22"/>
                <w:szCs w:val="22"/>
                <w:lang w:val="en-IN"/>
              </w:rPr>
            </w:pPr>
            <w:r>
              <w:rPr>
                <w:rFonts w:hint="default"/>
                <w:b w:val="0"/>
                <w:bCs w:val="0"/>
                <w:sz w:val="22"/>
                <w:szCs w:val="22"/>
                <w:lang w:val="en-IN"/>
              </w:rPr>
              <w:t>*Has overall technical responsibility for the technical aspects of the project environments </w:t>
            </w:r>
          </w:p>
          <w:p w14:paraId="774C1354">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*Compile internal development guidelines/standards for the development team and ensure the team is following those standards.</w:t>
            </w:r>
          </w:p>
          <w:p w14:paraId="5D02064E">
            <w:pPr>
              <w:numPr>
                <w:ilvl w:val="0"/>
                <w:numId w:val="0"/>
              </w:numPr>
              <w:bidi w:val="0"/>
              <w:ind w:leftChars="0"/>
              <w:rPr>
                <w:rFonts w:hint="default"/>
                <w:b w:val="0"/>
                <w:bCs w:val="0"/>
                <w:sz w:val="22"/>
                <w:szCs w:val="22"/>
                <w:lang w:val="en-IN"/>
              </w:rPr>
            </w:pPr>
            <w:r>
              <w:rPr>
                <w:rFonts w:hint="default"/>
                <w:b w:val="0"/>
                <w:bCs w:val="0"/>
                <w:sz w:val="22"/>
                <w:szCs w:val="22"/>
                <w:lang w:val="en-IN"/>
              </w:rPr>
              <w:t>*Provide oversight on QA efforts to ensure adherence to quality assurance standards. </w:t>
            </w:r>
          </w:p>
          <w:p w14:paraId="15692953">
            <w:pPr>
              <w:numPr>
                <w:ilvl w:val="0"/>
                <w:numId w:val="0"/>
              </w:numPr>
              <w:bidi w:val="0"/>
              <w:ind w:leftChars="0"/>
              <w:rPr>
                <w:rFonts w:hint="default"/>
                <w:b w:val="0"/>
                <w:bCs w:val="0"/>
                <w:sz w:val="22"/>
                <w:szCs w:val="22"/>
                <w:lang w:val="en-IN"/>
              </w:rPr>
            </w:pPr>
            <w:r>
              <w:rPr>
                <w:rFonts w:hint="default"/>
                <w:b w:val="0"/>
                <w:bCs w:val="0"/>
                <w:sz w:val="22"/>
                <w:szCs w:val="22"/>
                <w:lang w:val="en-IN"/>
              </w:rPr>
              <w:t>*Ensures the proposed solutions adhere to SOM security guidelines and standards throughout the application lifecycle.</w:t>
            </w:r>
          </w:p>
          <w:p w14:paraId="5735DD3B">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*Proven record of delivering business value by leveraging technology and an ability to communicate strategic technical concepts at an executive level and be a trusted voice at the decision-making table.</w:t>
            </w:r>
          </w:p>
          <w:p w14:paraId="4A13BB88">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*Technical leadership, to include coaching and mentoring, setting best practices including integration and application development, deployment, testing (unit and systems), and iterative refinement</w:t>
            </w:r>
          </w:p>
          <w:p w14:paraId="05B584E9">
            <w:pPr>
              <w:numPr>
                <w:ilvl w:val="0"/>
                <w:numId w:val="0"/>
              </w:numPr>
              <w:bidi w:val="0"/>
              <w:ind w:leftChars="0"/>
              <w:rPr>
                <w:rFonts w:hint="default"/>
                <w:b w:val="0"/>
                <w:bCs w:val="0"/>
                <w:sz w:val="22"/>
                <w:szCs w:val="22"/>
                <w:lang w:val="en-IN"/>
              </w:rPr>
            </w:pPr>
            <w:r>
              <w:rPr>
                <w:rFonts w:hint="default"/>
                <w:b w:val="0"/>
                <w:bCs w:val="0"/>
                <w:sz w:val="22"/>
                <w:szCs w:val="22"/>
                <w:lang w:val="en-IN"/>
              </w:rPr>
              <w:t> Excellent written and verbal communication skills.</w:t>
            </w:r>
          </w:p>
          <w:p w14:paraId="73D152DC">
            <w:pPr>
              <w:numPr>
                <w:ilvl w:val="0"/>
                <w:numId w:val="0"/>
              </w:numPr>
              <w:bidi w:val="0"/>
              <w:ind w:leftChars="0"/>
              <w:rPr>
                <w:rFonts w:hint="default"/>
                <w:b/>
                <w:bCs/>
                <w:sz w:val="22"/>
                <w:szCs w:val="22"/>
                <w:lang w:val="en-IN"/>
              </w:rPr>
            </w:pPr>
            <w:r>
              <w:rPr>
                <w:rFonts w:hint="default"/>
                <w:b/>
                <w:bCs/>
                <w:sz w:val="22"/>
                <w:szCs w:val="22"/>
                <w:lang w:val="en-IN"/>
              </w:rPr>
              <w:t>Salesforce skillsets</w:t>
            </w:r>
          </w:p>
          <w:p w14:paraId="1C3DD3EC">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*5+ years of working experience on Salesforce Sales Cloud, Service Cloud and 2+ years with Public Sector Foundation for licensing/permitting</w:t>
            </w:r>
          </w:p>
          <w:p w14:paraId="39A384EB">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*Experience in a minimum of two full Salesforce.com lifecycle implementations, In-depth understanding of the capabilities and constraints of the Salesforce</w:t>
            </w:r>
          </w:p>
          <w:p w14:paraId="228C8826">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*Assess Salesforce.com architecture and provide secure, high-performance technical solutions on the Force.com platform</w:t>
            </w:r>
          </w:p>
          <w:p w14:paraId="2940D3B0">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*Design and document technical architecture solutions that span multiple platforms and include integration and authentication across systems</w:t>
            </w:r>
          </w:p>
          <w:p w14:paraId="4D3187A8">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*Custom development experience using advanced structured programming (APEX, Force.com, Java), Salesforce Flow Builder, Visual Flow Pages, Lightning Web Components (LWC), SOQL</w:t>
            </w:r>
          </w:p>
          <w:p w14:paraId="0FCDF26D">
            <w:pPr>
              <w:numPr>
                <w:ilvl w:val="0"/>
                <w:numId w:val="0"/>
              </w:numPr>
              <w:bidi w:val="0"/>
              <w:ind w:leftChars="0"/>
              <w:rPr>
                <w:rFonts w:hint="default"/>
                <w:b w:val="0"/>
                <w:bCs w:val="0"/>
                <w:sz w:val="22"/>
                <w:szCs w:val="22"/>
                <w:lang w:val="en-IN"/>
              </w:rPr>
            </w:pPr>
            <w:r>
              <w:rPr>
                <w:rFonts w:hint="default"/>
                <w:b w:val="0"/>
                <w:bCs w:val="0"/>
                <w:sz w:val="22"/>
                <w:szCs w:val="22"/>
                <w:lang w:val="en-IN"/>
              </w:rPr>
              <w:t>*Experience with migrating from Workflow rules/Process builder to Flow builder.</w:t>
            </w:r>
          </w:p>
          <w:p w14:paraId="5AC6CA07">
            <w:pPr>
              <w:numPr>
                <w:ilvl w:val="0"/>
                <w:numId w:val="0"/>
              </w:numPr>
              <w:bidi w:val="0"/>
              <w:ind w:leftChars="0"/>
              <w:rPr>
                <w:rFonts w:hint="default"/>
                <w:b w:val="0"/>
                <w:bCs w:val="0"/>
                <w:sz w:val="22"/>
                <w:szCs w:val="22"/>
                <w:lang w:val="en-IN"/>
              </w:rPr>
            </w:pPr>
            <w:r>
              <w:rPr>
                <w:rFonts w:hint="default"/>
                <w:b w:val="0"/>
                <w:bCs w:val="0"/>
                <w:sz w:val="22"/>
                <w:szCs w:val="22"/>
                <w:lang w:val="en-IN"/>
              </w:rPr>
              <w:t>*Demonstrates successful implementation of Batch Apex, Apex triggers and classes.</w:t>
            </w:r>
          </w:p>
          <w:p w14:paraId="1822B370">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*Understands web services, REST services and other technologies that can be used to transport data in an enterprise environment and interact with Salesforce.com</w:t>
            </w:r>
          </w:p>
          <w:p w14:paraId="020B6496">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*Ownership of all End-to-End technical aspects of a Salesforce.com program: data modelling, data migrations, data quality, systems integrations, 3rd party applications, AppExchange products like Clariti Basic Gov, Conga etc. </w:t>
            </w:r>
          </w:p>
          <w:p w14:paraId="22C7FB60">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*CICD/Release Management - Define, communicate, and manage technical change management (e.g., release) processes for all Salesforce.com related technology efforts Backup and recovery, data seeding using Own formerly known as OwnBackup.</w:t>
            </w:r>
          </w:p>
          <w:p w14:paraId="18534E5B">
            <w:pPr>
              <w:numPr>
                <w:ilvl w:val="0"/>
                <w:numId w:val="0"/>
              </w:numPr>
              <w:bidi w:val="0"/>
              <w:ind w:leftChars="0"/>
              <w:rPr>
                <w:rFonts w:hint="default"/>
                <w:b w:val="0"/>
                <w:bCs w:val="0"/>
                <w:sz w:val="22"/>
                <w:szCs w:val="22"/>
                <w:lang w:val="en-IN"/>
              </w:rPr>
            </w:pPr>
            <w:r>
              <w:rPr>
                <w:rFonts w:hint="default"/>
                <w:b w:val="0"/>
                <w:bCs w:val="0"/>
                <w:sz w:val="22"/>
                <w:szCs w:val="22"/>
                <w:lang w:val="en-IN"/>
              </w:rPr>
              <w:t>*Experience using Conga composer for generating documents</w:t>
            </w:r>
          </w:p>
          <w:p w14:paraId="48E68AAD">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 xml:space="preserve">*Identification of risks and issues from a technical perspective. </w:t>
            </w:r>
          </w:p>
          <w:p w14:paraId="56654526">
            <w:pPr>
              <w:numPr>
                <w:ilvl w:val="0"/>
                <w:numId w:val="0"/>
              </w:numPr>
              <w:bidi w:val="0"/>
              <w:ind w:left="110" w:leftChars="0" w:hanging="110" w:hangingChars="50"/>
              <w:rPr>
                <w:rFonts w:hint="default"/>
                <w:b w:val="0"/>
                <w:bCs w:val="0"/>
                <w:sz w:val="22"/>
                <w:szCs w:val="22"/>
                <w:lang w:val="en-IN"/>
              </w:rPr>
            </w:pPr>
            <w:r>
              <w:rPr>
                <w:rFonts w:hint="default"/>
                <w:b w:val="0"/>
                <w:bCs w:val="0"/>
                <w:sz w:val="22"/>
                <w:szCs w:val="22"/>
                <w:lang w:val="en-IN"/>
              </w:rPr>
              <w:t>*The successful candidate will be a self-motivated individual, who can work under dynamic conditions and within deadlines.</w:t>
            </w:r>
          </w:p>
          <w:p w14:paraId="32020649">
            <w:pPr>
              <w:numPr>
                <w:ilvl w:val="0"/>
                <w:numId w:val="0"/>
              </w:numPr>
              <w:bidi w:val="0"/>
              <w:ind w:left="110" w:leftChars="0" w:hanging="110" w:hangingChars="5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07/24/2024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07/24/2024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07/24/2024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367650"/>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BC93A50"/>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129</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2024-07-24T18:44:20Z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1170D2EEE275446A95E14677DE11D226_13</vt:lpwstr>
  </property>
</Properties>
</file>