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2"/>
                <w:szCs w:val="22"/>
                <w:lang w:val="en-IN"/>
              </w:rPr>
            </w:pPr>
            <w:r>
              <w:rPr>
                <w:sz w:val="22"/>
                <w:szCs w:val="22"/>
              </w:rPr>
              <w:t>RS134056</w:t>
            </w:r>
            <w:bookmarkStart w:id="0" w:name="_GoBack"/>
            <w:bookmarkEnd w:id="0"/>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2"/>
                <w:szCs w:val="22"/>
                <w:lang w:val="en-IN"/>
              </w:rPr>
            </w:pPr>
            <w:r>
              <w:rPr>
                <w:sz w:val="22"/>
                <w:szCs w:val="22"/>
              </w:rPr>
              <w:t>Enterprise Architect </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2"/>
                <w:szCs w:val="22"/>
                <w:lang w:val="en-IN"/>
              </w:rPr>
            </w:pPr>
            <w:r>
              <w:rPr>
                <w:rFonts w:hint="default"/>
                <w:sz w:val="22"/>
                <w:szCs w:val="22"/>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2"/>
                <w:szCs w:val="22"/>
                <w:lang w:val="en-IN"/>
              </w:rPr>
            </w:pPr>
            <w:r>
              <w:rPr>
                <w:rFonts w:hint="default"/>
                <w:sz w:val="22"/>
                <w:szCs w:val="22"/>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2"/>
                <w:szCs w:val="22"/>
                <w:lang w:val="en-IN" w:eastAsia="zh-CN"/>
              </w:rPr>
            </w:pPr>
            <w:r>
              <w:rPr>
                <w:rFonts w:hint="default"/>
                <w:sz w:val="22"/>
                <w:szCs w:val="22"/>
              </w:rPr>
              <w:t>08-19-2024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2"/>
                <w:szCs w:val="22"/>
                <w:lang w:val="en-IN"/>
              </w:rPr>
            </w:pPr>
            <w:r>
              <w:rPr>
                <w:sz w:val="22"/>
                <w:szCs w:val="22"/>
              </w:rPr>
              <w:t> Sherwin-Williams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2"/>
                <w:szCs w:val="22"/>
                <w:lang w:val="en-IN"/>
              </w:rPr>
            </w:pPr>
            <w:r>
              <w:rPr>
                <w:rFonts w:hint="default"/>
                <w:sz w:val="22"/>
                <w:szCs w:val="22"/>
                <w:lang w:val="en-IN"/>
              </w:rPr>
              <w:t>02-18-2025</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2"/>
                <w:szCs w:val="22"/>
                <w:lang w:val="en-IN"/>
              </w:rPr>
            </w:pPr>
            <w:r>
              <w:rPr>
                <w:rFonts w:hint="default"/>
                <w:sz w:val="22"/>
                <w:szCs w:val="22"/>
                <w:lang w:val="en-IN"/>
              </w:rPr>
              <w:t>Software Architecture</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2"/>
                <w:szCs w:val="22"/>
                <w:lang w:val="en-IN"/>
              </w:rPr>
            </w:pPr>
            <w:r>
              <w:rPr>
                <w:sz w:val="22"/>
                <w:szCs w:val="22"/>
              </w:rPr>
              <w:t>Cleveland, OH (Hybrid)</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2"/>
                <w:szCs w:val="22"/>
                <w:lang w:val="en-IN"/>
              </w:rPr>
            </w:pPr>
            <w:r>
              <w:rPr>
                <w:rFonts w:hint="default"/>
                <w:sz w:val="22"/>
                <w:szCs w:val="22"/>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2"/>
                <w:szCs w:val="22"/>
                <w:lang w:val="en-IN"/>
              </w:rPr>
            </w:pPr>
            <w:r>
              <w:rPr>
                <w:sz w:val="22"/>
                <w:szCs w:val="22"/>
              </w:rPr>
              <w:t>$80/hr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2"/>
                <w:szCs w:val="22"/>
                <w:lang w:val="en-IN"/>
              </w:rPr>
            </w:pPr>
            <w:r>
              <w:rPr>
                <w:rFonts w:hint="default"/>
                <w:sz w:val="22"/>
                <w:szCs w:val="22"/>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2"/>
                <w:szCs w:val="22"/>
                <w:lang w:val="en-IN"/>
              </w:rPr>
            </w:pPr>
            <w:r>
              <w:rPr>
                <w:rFonts w:hint="default"/>
                <w:sz w:val="22"/>
                <w:szCs w:val="22"/>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2"/>
                <w:szCs w:val="22"/>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5E441807">
            <w:pPr>
              <w:numPr>
                <w:ilvl w:val="0"/>
                <w:numId w:val="0"/>
              </w:numPr>
              <w:bidi w:val="0"/>
              <w:ind w:leftChars="0"/>
              <w:jc w:val="left"/>
              <w:rPr>
                <w:rFonts w:hint="default"/>
                <w:b/>
                <w:bCs/>
                <w:sz w:val="22"/>
                <w:szCs w:val="22"/>
                <w:lang w:val="en-IN"/>
              </w:rPr>
            </w:pPr>
          </w:p>
          <w:p w14:paraId="7429CDF2">
            <w:pPr>
              <w:numPr>
                <w:ilvl w:val="0"/>
                <w:numId w:val="0"/>
              </w:numPr>
              <w:bidi w:val="0"/>
              <w:ind w:leftChars="0"/>
              <w:jc w:val="left"/>
              <w:rPr>
                <w:rFonts w:hint="default"/>
                <w:b/>
                <w:bCs/>
                <w:sz w:val="22"/>
                <w:szCs w:val="22"/>
                <w:lang w:val="en-IN"/>
              </w:rPr>
            </w:pPr>
            <w:r>
              <w:rPr>
                <w:rFonts w:hint="default"/>
                <w:b/>
                <w:bCs/>
                <w:sz w:val="22"/>
                <w:szCs w:val="22"/>
                <w:lang w:val="en-IN"/>
              </w:rPr>
              <w:t>Job Description</w:t>
            </w:r>
          </w:p>
          <w:p w14:paraId="14A7B04B">
            <w:pPr>
              <w:numPr>
                <w:ilvl w:val="0"/>
                <w:numId w:val="0"/>
              </w:numPr>
              <w:bidi w:val="0"/>
              <w:ind w:leftChars="0"/>
              <w:jc w:val="left"/>
              <w:rPr>
                <w:rFonts w:hint="default"/>
                <w:b/>
                <w:bCs/>
                <w:sz w:val="22"/>
                <w:szCs w:val="22"/>
                <w:lang w:val="en-IN"/>
              </w:rPr>
            </w:pPr>
            <w:r>
              <w:rPr>
                <w:rFonts w:hint="default"/>
                <w:b/>
                <w:bCs/>
                <w:sz w:val="22"/>
                <w:szCs w:val="22"/>
                <w:lang w:val="en-IN"/>
              </w:rPr>
              <w:t>Must have:</w:t>
            </w:r>
          </w:p>
          <w:p w14:paraId="7D920D6F">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A minimum of 15 years of overall IT experience</w:t>
            </w:r>
          </w:p>
          <w:p w14:paraId="19564DE0">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At least 3 years of specific, firsthand experience in Microsoft Azure architecture, design, and delivery.</w:t>
            </w:r>
          </w:p>
          <w:p w14:paraId="0C0A64D9">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Hands-on experience in developing and deploying Cloud Native Applications utilizing Azure PaaS Capabilities such as App Services Plans, Key Vault, SQL Azure DB, Azure Functions, Containers, AKS (Azure Kubernetes Service), Logic Apps, Service Bus, Event Grid, and API Management.</w:t>
            </w:r>
          </w:p>
          <w:p w14:paraId="124A60AB">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Proven experience in implementing authentication and authorization mechanisms for applications using Azure Active Directory (AD) and OAuth.</w:t>
            </w:r>
          </w:p>
          <w:p w14:paraId="2FA5C9B1">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 xml:space="preserve"> Familiarity with claims-based authentication standards (SAML/OAuth/OIDC), Multi-factor Authentication (MFA), and Role-based Access Control (RBAC).</w:t>
            </w:r>
          </w:p>
          <w:p w14:paraId="0EB700B7">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8 years of experience as a full stack developer – Design, Develop, Deploy, Test on Azure Cloud</w:t>
            </w:r>
          </w:p>
          <w:p w14:paraId="35712A85">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 xml:space="preserve"> Proven ability in building enterprise grade micro frontend Apps (React, React Monorepo Nx, React.js, Next.js, typescript, material UI, Tailwind etc.)</w:t>
            </w:r>
          </w:p>
          <w:p w14:paraId="5887A985">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 xml:space="preserve"> Expert in developing microservices using Java SpringBoot, Python, GraphQL</w:t>
            </w:r>
          </w:p>
          <w:p w14:paraId="0FBCBFEC">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with performance-testing frameworks (Mocha, Jest)</w:t>
            </w:r>
          </w:p>
          <w:p w14:paraId="38A79E8E">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2 years of experience designing and implementing enterprise grade solutions for Fine-Grained Authorization. Experience with one or more products – Open Policy</w:t>
            </w:r>
          </w:p>
          <w:p w14:paraId="40C81392">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Agent (OPA), PlainID, Styra, Zanzibar – Google, Verified Permissions – Amazon, Topaz, Permit.io, Descope.</w:t>
            </w:r>
          </w:p>
          <w:p w14:paraId="26D5243D">
            <w:pPr>
              <w:numPr>
                <w:numId w:val="0"/>
              </w:numPr>
              <w:bidi w:val="0"/>
              <w:ind w:leftChars="0"/>
              <w:jc w:val="left"/>
              <w:rPr>
                <w:rFonts w:hint="default"/>
                <w:b/>
                <w:bCs/>
                <w:sz w:val="22"/>
                <w:szCs w:val="22"/>
                <w:lang w:val="en-IN"/>
              </w:rPr>
            </w:pPr>
            <w:r>
              <w:rPr>
                <w:rFonts w:hint="default"/>
                <w:b/>
                <w:bCs/>
                <w:sz w:val="22"/>
                <w:szCs w:val="22"/>
                <w:lang w:val="en-IN"/>
              </w:rPr>
              <w:t>Nice to have:</w:t>
            </w:r>
          </w:p>
          <w:p w14:paraId="3376EBD1">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Proficiency in Azure infrastructure, networking, storage, application services, and Azure DevOps.</w:t>
            </w:r>
          </w:p>
          <w:p w14:paraId="3602813D">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In-depth understanding of cloud architecture styles and design patterns.</w:t>
            </w:r>
          </w:p>
          <w:p w14:paraId="778098EF">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Proven experience in developing cloud migration strategies, defining migration roadmaps, and providing accurate estimates.</w:t>
            </w:r>
          </w:p>
          <w:p w14:paraId="556A85E7">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Proficiency with Azure Resource Manager, Resource Groups, Virtual Networks,</w:t>
            </w:r>
          </w:p>
          <w:p w14:paraId="62D7FC15">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Azure Virtual Machines, Azure Blob Storage, PowerShell DSC, Azure Automation,Azure Active Directory, and Azure Site Recovery.</w:t>
            </w:r>
          </w:p>
          <w:p w14:paraId="0C5127EF">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with Azure Governance and Best Practices, Azure Architect Role-Based Access Control (RBAC), networking architectures, cost management controls, and other Azure governance principles.</w:t>
            </w:r>
          </w:p>
          <w:p w14:paraId="77ECE5AB">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Debugging application code and troubleshooting interface software.</w:t>
            </w:r>
          </w:p>
          <w:p w14:paraId="0392163C">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Developing and maintaining front-end architectures that support user interfaces.</w:t>
            </w:r>
          </w:p>
          <w:p w14:paraId="07EC8867">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Improving and monitoring front-end performance</w:t>
            </w:r>
          </w:p>
          <w:p w14:paraId="1424A238">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Developing updates and documenting application changes.</w:t>
            </w:r>
          </w:p>
          <w:p w14:paraId="629EB8A0">
            <w:pPr>
              <w:numPr>
                <w:numId w:val="0"/>
              </w:numPr>
              <w:bidi w:val="0"/>
              <w:ind w:leftChars="0"/>
              <w:jc w:val="left"/>
              <w:rPr>
                <w:rFonts w:hint="default"/>
                <w:b/>
                <w:bCs/>
                <w:sz w:val="22"/>
                <w:szCs w:val="22"/>
                <w:lang w:val="en-IN"/>
              </w:rPr>
            </w:pPr>
            <w:r>
              <w:rPr>
                <w:rFonts w:hint="default"/>
                <w:b/>
                <w:bCs/>
                <w:sz w:val="22"/>
                <w:szCs w:val="22"/>
                <w:lang w:val="en-IN"/>
              </w:rPr>
              <w:t>Responsibilities:</w:t>
            </w:r>
          </w:p>
          <w:p w14:paraId="7FB9AF3E">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Architect, design, and deliver Microsoft Azure-based solutions, leveraging firsthand experience in Azure architecture and cloud native application development.</w:t>
            </w:r>
          </w:p>
          <w:p w14:paraId="29C93D7D">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Develop and deploy applications utilizing Azure PaaS capabilities, including App Services Plans, Key Vault, SQL Azure DB, Azure Functions, Containers, AKS, Logic</w:t>
            </w:r>
          </w:p>
          <w:p w14:paraId="4235A419">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Apps, Service Bus, Event Grid, and API Management.</w:t>
            </w:r>
          </w:p>
          <w:p w14:paraId="4661761F">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Implement and manage authentication and authorization mechanisms using Azure</w:t>
            </w:r>
          </w:p>
          <w:p w14:paraId="26699B4D">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Active Directory (AD) and OAuth, ensuring compliance with claims-based authentication standards (SAML/OAuth/OIDC), Multi-factor Authentication (MFA), and Role-based Access Control (RBAC).</w:t>
            </w:r>
          </w:p>
          <w:p w14:paraId="70299E2F">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Lead the development of enterprise-grade micro frontend applications using React, React Monorepo Nx, React.js, Next.js, TypeScript, Material UI, and Tailwind.</w:t>
            </w:r>
          </w:p>
          <w:p w14:paraId="58DCA763">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Design and develop microservices with Java SpringBoot, Python, and GraphQL, incorporating performance-testing frameworks such as Mocha and Jest.</w:t>
            </w:r>
          </w:p>
          <w:p w14:paraId="6F5F9A52">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Design and implement fine-grained authorization solutions, utilizing products like Open Policy Agent (OPA), PlainID, Styra, Zanzibar, Verified Permissions, Topaz,Permit.io, or Descope.</w:t>
            </w:r>
          </w:p>
          <w:p w14:paraId="34271E3F">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Provide technical leadership and expertise in Azure infrastructure, networking,storage, application services, and Azure DevOps.</w:t>
            </w:r>
          </w:p>
          <w:p w14:paraId="6BCBD8B8">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Develop cloud migration strategies, define migration roadmaps, and provide accurate project estimates.</w:t>
            </w:r>
          </w:p>
          <w:p w14:paraId="63D5D759">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Utilize Azure Resource Manager, Resource Groups, Virtual Networks, Azure Virtual Machines, Azure Blob Storage, PowerShell DSC, Azure Automation, Azure Active</w:t>
            </w:r>
          </w:p>
          <w:p w14:paraId="5DC9F818">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Directory, and Azure Site Recovery to manage and optimize cloud infrastructure.</w:t>
            </w:r>
          </w:p>
          <w:p w14:paraId="6BF09E93">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Ensure adherence to Azure governance principles, including best practices, cost management controls, and role-based access control (RBAC).</w:t>
            </w:r>
          </w:p>
          <w:p w14:paraId="1C2ADAB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Debug application code, troubleshoot interface software, and maintain front-end architectures to support user interfaces.</w:t>
            </w:r>
          </w:p>
          <w:p w14:paraId="321B07FF">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Improve and monitor front-end performance, developing updates and documenting application changes to maintain high-quality enterprise solutions.</w:t>
            </w:r>
          </w:p>
          <w:p w14:paraId="4F9CFCA8">
            <w:pPr>
              <w:numPr>
                <w:ilvl w:val="0"/>
                <w:numId w:val="0"/>
              </w:numPr>
              <w:bidi w:val="0"/>
              <w:ind w:leftChars="0"/>
              <w:jc w:val="left"/>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07/29/2024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07/29/2024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07/29/2024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D654B"/>
    <w:multiLevelType w:val="singleLevel"/>
    <w:tmpl w:val="A3ED654B"/>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3">
    <w:nsid w:val="49AE8939"/>
    <w:multiLevelType w:val="singleLevel"/>
    <w:tmpl w:val="49AE8939"/>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81438B"/>
    <w:rsid w:val="08BE0E92"/>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367650"/>
    <w:rsid w:val="107034C4"/>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556C87"/>
    <w:rsid w:val="1F7673FD"/>
    <w:rsid w:val="1F7C6D62"/>
    <w:rsid w:val="1F80299E"/>
    <w:rsid w:val="1F931083"/>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4F5805"/>
    <w:rsid w:val="27500F22"/>
    <w:rsid w:val="27571E4F"/>
    <w:rsid w:val="27C56912"/>
    <w:rsid w:val="27D30664"/>
    <w:rsid w:val="280C6D69"/>
    <w:rsid w:val="285A3122"/>
    <w:rsid w:val="286E0981"/>
    <w:rsid w:val="28C35484"/>
    <w:rsid w:val="28CC67A2"/>
    <w:rsid w:val="28D70140"/>
    <w:rsid w:val="293A5CF1"/>
    <w:rsid w:val="2943312E"/>
    <w:rsid w:val="29516AC1"/>
    <w:rsid w:val="29CF1F08"/>
    <w:rsid w:val="29EA2938"/>
    <w:rsid w:val="29EF58B6"/>
    <w:rsid w:val="2A34763F"/>
    <w:rsid w:val="2A603FB2"/>
    <w:rsid w:val="2A7F20D5"/>
    <w:rsid w:val="2AD45E38"/>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A325AE"/>
    <w:rsid w:val="37D14C4E"/>
    <w:rsid w:val="38076D7F"/>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88</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2024-07-30T14:57:29Z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9B899FB7853D4D75B1C09B7DC3929927_13</vt:lpwstr>
  </property>
</Properties>
</file>