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bookmarkStart w:id="0" w:name="_GoBack"/>
            <w:r>
              <w:rPr>
                <w:sz w:val="24"/>
                <w:szCs w:val="24"/>
              </w:rPr>
              <w:t>RS142016</w:t>
            </w:r>
            <w:bookmarkEnd w:id="0"/>
          </w:p>
        </w:tc>
        <w:tc>
          <w:tcPr>
            <w:tcW w:w="1829"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3124" w:type="dxa"/>
          </w:tcPr>
          <w:p w14:paraId="75405AC2">
            <w:pPr>
              <w:bidi w:val="0"/>
              <w:rPr>
                <w:rFonts w:hint="default"/>
                <w:sz w:val="24"/>
                <w:szCs w:val="24"/>
                <w:lang w:val="en-IN"/>
              </w:rPr>
            </w:pPr>
            <w:r>
              <w:rPr>
                <w:sz w:val="24"/>
                <w:szCs w:val="24"/>
              </w:rPr>
              <w:t>Principal QA Automation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 to Perm</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01-20-2025</w:t>
            </w:r>
          </w:p>
        </w:tc>
        <w:tc>
          <w:tcPr>
            <w:tcW w:w="1829"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3124" w:type="dxa"/>
          </w:tcPr>
          <w:p w14:paraId="4BFF66E0">
            <w:pPr>
              <w:bidi w:val="0"/>
              <w:rPr>
                <w:rFonts w:hint="default"/>
                <w:sz w:val="24"/>
                <w:szCs w:val="24"/>
                <w:lang w:val="en-IN"/>
              </w:rPr>
            </w:pPr>
            <w:r>
              <w:rPr>
                <w:sz w:val="24"/>
                <w:szCs w:val="24"/>
              </w:rPr>
              <w:t>Southern Glazers Wine and Spirits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05-01-2025</w:t>
            </w:r>
          </w:p>
        </w:tc>
        <w:tc>
          <w:tcPr>
            <w:tcW w:w="1829" w:type="dxa"/>
            <w:shd w:val="clear" w:color="auto" w:fill="F1F1F1" w:themeFill="background1" w:themeFillShade="F2"/>
          </w:tcPr>
          <w:p w14:paraId="4C681CD3">
            <w:pPr>
              <w:bidi w:val="0"/>
              <w:rPr>
                <w:rFonts w:hint="default"/>
                <w:b/>
                <w:bCs/>
                <w:sz w:val="24"/>
                <w:szCs w:val="24"/>
                <w:lang w:val="en-IN"/>
              </w:rPr>
            </w:pPr>
            <w:r>
              <w:rPr>
                <w:rFonts w:hint="default"/>
                <w:b/>
                <w:bCs/>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Automation</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Miramar, FL</w:t>
            </w:r>
          </w:p>
        </w:tc>
        <w:tc>
          <w:tcPr>
            <w:tcW w:w="1829" w:type="dxa"/>
            <w:shd w:val="clear" w:color="auto" w:fill="F1F1F1" w:themeFill="background1" w:themeFillShade="F2"/>
          </w:tcPr>
          <w:p w14:paraId="5B7712EC">
            <w:pPr>
              <w:bidi w:val="0"/>
              <w:rPr>
                <w:rFonts w:hint="default"/>
                <w:b/>
                <w:bCs/>
                <w:sz w:val="24"/>
                <w:szCs w:val="24"/>
                <w:lang w:val="en-IN"/>
              </w:rPr>
            </w:pPr>
            <w:r>
              <w:rPr>
                <w:rFonts w:hint="default"/>
                <w:b/>
                <w:bCs/>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sz w:val="24"/>
                <w:szCs w:val="24"/>
              </w:rPr>
              <w:t>$68/hr on W2</w:t>
            </w:r>
          </w:p>
        </w:tc>
        <w:tc>
          <w:tcPr>
            <w:tcW w:w="1829" w:type="dxa"/>
            <w:shd w:val="clear" w:color="auto" w:fill="F1F1F1" w:themeFill="background1" w:themeFillShade="F2"/>
          </w:tcPr>
          <w:p w14:paraId="726B5E38">
            <w:pPr>
              <w:bidi w:val="0"/>
              <w:rPr>
                <w:rFonts w:hint="default"/>
                <w:b/>
                <w:bCs/>
                <w:sz w:val="24"/>
                <w:szCs w:val="24"/>
                <w:lang w:val="en-IN"/>
              </w:rPr>
            </w:pPr>
            <w:r>
              <w:rPr>
                <w:rFonts w:hint="default"/>
                <w:b/>
                <w:bCs/>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b/>
                <w:bCs/>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BCC2FE4">
            <w:pPr>
              <w:numPr>
                <w:ilvl w:val="0"/>
                <w:numId w:val="0"/>
              </w:numPr>
              <w:bidi w:val="0"/>
              <w:spacing w:before="30" w:after="30"/>
              <w:jc w:val="left"/>
              <w:rPr>
                <w:rFonts w:hint="default"/>
                <w:b w:val="0"/>
                <w:bCs w:val="0"/>
                <w:sz w:val="22"/>
                <w:szCs w:val="22"/>
                <w:lang w:val="en-IN"/>
              </w:rPr>
            </w:pPr>
          </w:p>
          <w:p w14:paraId="38517D80">
            <w:pPr>
              <w:numPr>
                <w:ilvl w:val="0"/>
                <w:numId w:val="0"/>
              </w:numPr>
              <w:bidi w:val="0"/>
              <w:spacing w:before="30" w:after="30"/>
              <w:jc w:val="left"/>
              <w:rPr>
                <w:rFonts w:hint="default"/>
                <w:b/>
                <w:bCs/>
                <w:sz w:val="24"/>
                <w:szCs w:val="24"/>
                <w:lang w:val="en-IN"/>
              </w:rPr>
            </w:pPr>
            <w:r>
              <w:rPr>
                <w:rFonts w:hint="default"/>
                <w:b/>
                <w:bCs/>
                <w:sz w:val="24"/>
                <w:szCs w:val="24"/>
                <w:lang w:val="en-IN"/>
              </w:rPr>
              <w:t>Notes</w:t>
            </w:r>
          </w:p>
          <w:p w14:paraId="558B289B">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This is a high PRIORITY requisition. This is a PROACTIVE requisition</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626819D7">
            <w:pPr>
              <w:numPr>
                <w:ilvl w:val="0"/>
                <w:numId w:val="0"/>
              </w:numPr>
              <w:bidi w:val="0"/>
              <w:spacing w:before="30" w:after="30"/>
              <w:jc w:val="left"/>
              <w:rPr>
                <w:rFonts w:hint="default" w:asciiTheme="minorAscii" w:hAnsiTheme="minorAscii"/>
                <w:b w:val="0"/>
                <w:bCs w:val="0"/>
                <w:sz w:val="24"/>
                <w:szCs w:val="24"/>
                <w:lang w:val="en-IN"/>
              </w:rPr>
            </w:pPr>
          </w:p>
          <w:p w14:paraId="6F9D0AF4">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Be at the forefront of innovation and excellence as a Principal QA Automation Engineer, where you&amp;#39;ll drive impact full solutions within testing organization.</w:t>
            </w:r>
          </w:p>
          <w:p w14:paraId="5F92F5D9">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Join a dynamic team where you’ll play a pivotal role in modernization of automation testing.</w:t>
            </w:r>
          </w:p>
          <w:p w14:paraId="0E752E4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QA Automation Engineers job is responsible for the overall quality of systems and technology that are released into ETP’s production environment.</w:t>
            </w:r>
          </w:p>
          <w:p w14:paraId="27EDDDD8">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The scope of this role includes the comprehensive aspects of quality including testing documentation, planning and execution of testing, testing validation, and obtaining approval using both manual processes and automated tools that are available in the SGWS environment. </w:t>
            </w:r>
          </w:p>
          <w:p w14:paraId="0A0454B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In their role, Quality Assurance is responsible for ensuring the product meets business requirements and overall business objectives by tracking and reporting quality assurance metrics such as defects, defect counts, test results and test status, as well as documenting problems and communicating the issue to development staff to assist in their resolution.</w:t>
            </w:r>
          </w:p>
          <w:p w14:paraId="4298C7D6">
            <w:pPr>
              <w:numPr>
                <w:ilvl w:val="0"/>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54177A3"/>
    <w:multiLevelType w:val="singleLevel"/>
    <w:tmpl w:val="154177A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25302C"/>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442555"/>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354</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2025-01-08T17:38:49Z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E6F588FDB38B49E5927D7F7AF682D9C8_13</vt:lpwstr>
  </property>
</Properties>
</file>