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054"/>
        <w:gridCol w:w="2100"/>
        <w:gridCol w:w="271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54"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RS143977</w:t>
            </w:r>
            <w:bookmarkStart w:id="0" w:name="_GoBack"/>
            <w:bookmarkEnd w:id="0"/>
          </w:p>
        </w:tc>
        <w:tc>
          <w:tcPr>
            <w:tcW w:w="2100"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710" w:type="dxa"/>
          </w:tcPr>
          <w:p w14:paraId="75405AC2">
            <w:pPr>
              <w:bidi w:val="0"/>
              <w:rPr>
                <w:rFonts w:hint="default" w:asciiTheme="minorAscii" w:hAnsiTheme="minorAscii"/>
                <w:sz w:val="24"/>
                <w:szCs w:val="24"/>
                <w:lang w:val="en-IN"/>
              </w:rPr>
            </w:pPr>
            <w:r>
              <w:rPr>
                <w:rFonts w:hint="default" w:asciiTheme="minorAscii" w:hAnsiTheme="minorAscii"/>
                <w:sz w:val="24"/>
                <w:szCs w:val="24"/>
              </w:rPr>
              <w:t>Technical Documentation Writer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054" w:type="dxa"/>
          </w:tcPr>
          <w:p w14:paraId="5E642CED">
            <w:pPr>
              <w:bidi w:val="0"/>
              <w:rPr>
                <w:rFonts w:hint="default" w:asciiTheme="minorAscii" w:hAnsiTheme="minorAscii"/>
                <w:sz w:val="24"/>
                <w:szCs w:val="24"/>
                <w:lang w:val="en-IN"/>
              </w:rPr>
            </w:pPr>
            <w:r>
              <w:rPr>
                <w:rFonts w:hint="default" w:asciiTheme="minorAscii" w:hAnsiTheme="minorAscii"/>
                <w:sz w:val="24"/>
                <w:szCs w:val="24"/>
                <w:lang w:eastAsia="en-IN"/>
              </w:rPr>
              <w:t>02-24-2025</w:t>
            </w:r>
          </w:p>
        </w:tc>
        <w:tc>
          <w:tcPr>
            <w:tcW w:w="2100"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710"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054"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06-30-2025</w:t>
            </w:r>
          </w:p>
        </w:tc>
        <w:tc>
          <w:tcPr>
            <w:tcW w:w="2100"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710" w:type="dxa"/>
          </w:tcPr>
          <w:p w14:paraId="4BFF66E0">
            <w:pPr>
              <w:bidi w:val="0"/>
              <w:rPr>
                <w:rFonts w:hint="default" w:asciiTheme="minorAscii" w:hAnsiTheme="minorAscii"/>
                <w:sz w:val="24"/>
                <w:szCs w:val="24"/>
                <w:lang w:val="en-IN"/>
              </w:rPr>
            </w:pPr>
            <w:r>
              <w:rPr>
                <w:rFonts w:hint="default" w:asciiTheme="minorAscii" w:hAnsiTheme="minorAscii"/>
                <w:sz w:val="24"/>
                <w:szCs w:val="24"/>
              </w:rPr>
              <w:t>Grant Thornton LLP</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054"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2100"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710" w:type="dxa"/>
          </w:tcPr>
          <w:p w14:paraId="0B73BA85">
            <w:pPr>
              <w:bidi w:val="0"/>
              <w:rPr>
                <w:rFonts w:hint="default" w:asciiTheme="minorAscii" w:hAnsiTheme="minorAscii"/>
                <w:sz w:val="24"/>
                <w:szCs w:val="24"/>
              </w:rPr>
            </w:pPr>
            <w:r>
              <w:rPr>
                <w:rFonts w:hint="default" w:asciiTheme="minorAscii" w:hAnsiTheme="minorAscii"/>
                <w:sz w:val="24"/>
                <w:szCs w:val="24"/>
                <w:lang w:eastAsia="en-IN"/>
              </w:rPr>
              <w:t>Content Strategy Planning</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054" w:type="dxa"/>
          </w:tcPr>
          <w:p w14:paraId="5E9D8605">
            <w:pPr>
              <w:bidi w:val="0"/>
              <w:rPr>
                <w:rFonts w:hint="default" w:asciiTheme="minorAscii" w:hAnsiTheme="minorAscii"/>
                <w:sz w:val="24"/>
                <w:szCs w:val="24"/>
                <w:lang w:val="en-US" w:eastAsia="zh-CN"/>
              </w:rPr>
            </w:pPr>
            <w:r>
              <w:rPr>
                <w:rFonts w:hint="default" w:asciiTheme="minorAscii" w:hAnsiTheme="minorAscii"/>
                <w:sz w:val="24"/>
                <w:szCs w:val="24"/>
                <w:lang w:val="en-US" w:eastAsia="zh-CN"/>
              </w:rPr>
              <w:t>Chicago, IL</w:t>
            </w:r>
          </w:p>
        </w:tc>
        <w:tc>
          <w:tcPr>
            <w:tcW w:w="2100"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710" w:type="dxa"/>
          </w:tcPr>
          <w:p w14:paraId="5AC4CA63">
            <w:pPr>
              <w:bidi w:val="0"/>
              <w:rPr>
                <w:rFonts w:hint="default" w:asciiTheme="minorAscii" w:hAnsiTheme="minorAscii"/>
                <w:sz w:val="24"/>
                <w:szCs w:val="24"/>
                <w:lang w:val="en-US"/>
              </w:rPr>
            </w:pPr>
            <w:r>
              <w:rPr>
                <w:rFonts w:hint="default" w:asciiTheme="minorAscii" w:hAnsiTheme="minorAscii"/>
                <w:sz w:val="24"/>
                <w:szCs w:val="24"/>
                <w:lang w:val="en-US" w:eastAsia="en-IN"/>
              </w:rPr>
              <w:t>100%</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054"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2100"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710"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054"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$38/hr on W2</w:t>
            </w:r>
          </w:p>
        </w:tc>
        <w:tc>
          <w:tcPr>
            <w:tcW w:w="2100" w:type="dxa"/>
            <w:shd w:val="clear" w:color="auto" w:fill="F1F1F1" w:themeFill="background1" w:themeFillShade="F2"/>
          </w:tcPr>
          <w:p w14:paraId="0DA5C077">
            <w:pPr>
              <w:bidi w:val="0"/>
              <w:rPr>
                <w:rFonts w:hint="default" w:asciiTheme="minorAscii" w:hAnsiTheme="minorAscii"/>
                <w:sz w:val="24"/>
                <w:szCs w:val="24"/>
                <w:lang w:val="en-IN"/>
              </w:rPr>
            </w:pPr>
          </w:p>
        </w:tc>
        <w:tc>
          <w:tcPr>
            <w:tcW w:w="2710"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F835F81">
            <w:pPr>
              <w:numPr>
                <w:ilvl w:val="0"/>
                <w:numId w:val="0"/>
              </w:numPr>
              <w:bidi w:val="0"/>
              <w:spacing w:before="30" w:after="30"/>
              <w:jc w:val="left"/>
              <w:rPr>
                <w:rFonts w:hint="default"/>
                <w:b/>
                <w:bCs/>
                <w:sz w:val="24"/>
                <w:szCs w:val="24"/>
                <w:lang w:val="en-IN"/>
              </w:rPr>
            </w:pPr>
          </w:p>
          <w:p w14:paraId="164FBF94">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4DB33B12">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Grant Thornton LLP (US) is an audit, tax, and advisory firm headquartered in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Chicago, Illinois with over 50 U.S. offices and access to a global network or</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member firms in over 135 countries. We offer a broad range of services in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strategy and consulting, operations, technology and more across various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 xml:space="preserve">industries. </w:t>
            </w:r>
          </w:p>
          <w:p w14:paraId="19CE1D19">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We have the experience and expertise to help our clients move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forward in an evolving business environment.</w:t>
            </w:r>
          </w:p>
          <w:p w14:paraId="53A0EEA0">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Specialties:</w:t>
            </w:r>
          </w:p>
          <w:p w14:paraId="395CEF15">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Audit, Tax, Advisory Services, consulting, operations, supply chain,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public sector,</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manufacturing, and strategy.</w:t>
            </w:r>
          </w:p>
          <w:p w14:paraId="7468C858">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Duration: </w:t>
            </w:r>
            <w:r>
              <w:rPr>
                <w:rFonts w:hint="default" w:asciiTheme="minorAscii" w:hAnsiTheme="minorAscii"/>
                <w:b w:val="0"/>
                <w:bCs w:val="0"/>
                <w:sz w:val="24"/>
                <w:szCs w:val="24"/>
                <w:lang w:eastAsia="en-IN"/>
              </w:rPr>
              <w:t>Contract 4-6 months with potential to extend</w:t>
            </w:r>
          </w:p>
          <w:p w14:paraId="4E46BBD0">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Location: </w:t>
            </w:r>
            <w:r>
              <w:rPr>
                <w:rFonts w:hint="default" w:asciiTheme="minorAscii" w:hAnsiTheme="minorAscii"/>
                <w:b w:val="0"/>
                <w:bCs w:val="0"/>
                <w:sz w:val="24"/>
                <w:szCs w:val="24"/>
                <w:lang w:eastAsia="en-IN"/>
              </w:rPr>
              <w:t>100% Remote</w:t>
            </w:r>
          </w:p>
          <w:p w14:paraId="21023434">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Overview:</w:t>
            </w:r>
          </w:p>
          <w:p w14:paraId="4054614B">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Grant Thornton is searching for an experienced technical</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documentation writer to join our team! The technical documentation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writer will support our quote to cash (Q2C) initiatives as we modernize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our Q2C system &amp;</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processes.</w:t>
            </w:r>
          </w:p>
          <w:p w14:paraId="35006D80">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The ideal candidate will have proven success in a technical field, such</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as software implementation and development, customer experience,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cloud &amp;amp; infrastructure, or data &amp;amp; analytics. Any specific quote to cash</w:t>
            </w:r>
          </w:p>
          <w:p w14:paraId="2CBFD9CD">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(Q2C) project experience would be ideal!</w:t>
            </w:r>
          </w:p>
          <w:p w14:paraId="520F14B4">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Also important in this role is the ability to evaluate and analyze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complex information and a natural desire to help people understand it.</w:t>
            </w:r>
          </w:p>
          <w:p w14:paraId="1979B63F">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Any experience working in Professional Services (Deloitte, Accenture,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PWC, EY, KPMG) is a plus!</w:t>
            </w:r>
          </w:p>
          <w:p w14:paraId="762ADB3F">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Responsibilities:</w:t>
            </w:r>
          </w:p>
          <w:p w14:paraId="14986FFD">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Work closely with various teams, stakeholders, and subject matter</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experts to gather information and understand project requirements.</w:t>
            </w:r>
          </w:p>
          <w:p w14:paraId="13BA6101">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Research, outline, write, and edit comprehensive documentation that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meets organizational standards.</w:t>
            </w:r>
          </w:p>
          <w:p w14:paraId="3E69A809">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Develop, organize, and write procedure manuals, technical</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specifications, and process documentation to support internal teams.</w:t>
            </w:r>
          </w:p>
          <w:p w14:paraId="2E768E85">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Write user-friendly content that meets the needs of specific target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audiences, translate complex information into simple, polished,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engaging content.</w:t>
            </w:r>
          </w:p>
          <w:p w14:paraId="6CB971AF">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Maintain detailed database of requirements, technical documentation,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reference materials, research, and other pertinent info.</w:t>
            </w:r>
          </w:p>
          <w:p w14:paraId="6B3B31AB">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Evaluate current technical documentation content and processes for</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improvement.</w:t>
            </w:r>
          </w:p>
          <w:p w14:paraId="6A8592F7">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Qualifications:</w:t>
            </w:r>
          </w:p>
          <w:p w14:paraId="37A46882">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5+ years of experience as a technical documentation writer within a</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large organization(s).</w:t>
            </w:r>
          </w:p>
          <w:p w14:paraId="6C988F62">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Experience working in a technical field, such as software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implementation and development, and an understanding of the SDLC.</w:t>
            </w:r>
          </w:p>
          <w:p w14:paraId="19981733">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Any specific quote to cash (Q2C) project experience would be ideal.</w:t>
            </w:r>
          </w:p>
          <w:p w14:paraId="0CDBD5E6">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Any experience working in Professional Services (Deloitte, Accenture,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PWC, EY, KPMG) is a plus</w:t>
            </w:r>
            <w:r>
              <w:rPr>
                <w:rFonts w:hint="default" w:asciiTheme="minorAscii" w:hAnsiTheme="minorAscii"/>
                <w:b w:val="0"/>
                <w:bCs w:val="0"/>
                <w:sz w:val="24"/>
                <w:szCs w:val="24"/>
                <w:lang w:val="en-US" w:eastAsia="en-IN"/>
              </w:rPr>
              <w:t>.</w:t>
            </w:r>
          </w:p>
          <w:p w14:paraId="6CA73A38">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Expert level MS Office365 skills: Word, Excel, PowerPoint, SharePoint,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Teams, etc.</w:t>
            </w:r>
          </w:p>
          <w:p w14:paraId="7124FAB0">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Proven ability to quickly learn and synthesize complex subject matter.</w:t>
            </w:r>
          </w:p>
          <w:p w14:paraId="2764E9FE">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Superb written communication skills with a keen eye for detail.</w:t>
            </w:r>
          </w:p>
          <w:p w14:paraId="54316FBD">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Experience working with technical folks, designers and developers to</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improve user experience, refine content, and create visuals and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diagrams for technical support content.</w:t>
            </w:r>
          </w:p>
          <w:p w14:paraId="5692DB94">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Ability to handle multiple projects simultaneously while being highly</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communicative and proactive.</w:t>
            </w:r>
          </w:p>
          <w:p w14:paraId="2235C3F9">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Interview Process:</w:t>
            </w:r>
          </w:p>
          <w:p w14:paraId="692F71BB">
            <w:pPr>
              <w:numPr>
                <w:ilvl w:val="0"/>
                <w:numId w:val="3"/>
              </w:numPr>
              <w:bidi w:val="0"/>
              <w:spacing w:before="30" w:after="30"/>
              <w:ind w:left="420" w:leftChars="0" w:hanging="420" w:firstLineChars="0"/>
              <w:jc w:val="left"/>
              <w:rPr>
                <w:rFonts w:hint="default"/>
                <w:b w:val="0"/>
                <w:bCs w:val="0"/>
                <w:sz w:val="24"/>
                <w:szCs w:val="24"/>
                <w:lang w:val="en-IN" w:eastAsia="en-IN"/>
              </w:rPr>
            </w:pPr>
            <w:r>
              <w:rPr>
                <w:rFonts w:hint="default" w:asciiTheme="minorAscii" w:hAnsiTheme="minorAscii"/>
                <w:b w:val="0"/>
                <w:bCs w:val="0"/>
                <w:sz w:val="24"/>
                <w:szCs w:val="24"/>
                <w:lang w:eastAsia="en-IN"/>
              </w:rPr>
              <w:t>30 minute interview with Manager</w:t>
            </w:r>
          </w:p>
          <w:p w14:paraId="0EA4F364">
            <w:pPr>
              <w:numPr>
                <w:ilvl w:val="0"/>
                <w:numId w:val="3"/>
              </w:numPr>
              <w:bidi w:val="0"/>
              <w:spacing w:before="30" w:after="30"/>
              <w:ind w:left="420" w:leftChars="0" w:hanging="420" w:firstLineChars="0"/>
              <w:jc w:val="left"/>
              <w:rPr>
                <w:rFonts w:hint="default"/>
                <w:b w:val="0"/>
                <w:bCs w:val="0"/>
                <w:sz w:val="24"/>
                <w:szCs w:val="24"/>
                <w:lang w:val="en-IN" w:eastAsia="en-IN"/>
              </w:rPr>
            </w:pPr>
            <w:r>
              <w:rPr>
                <w:rFonts w:hint="default" w:asciiTheme="minorAscii" w:hAnsiTheme="minorAscii"/>
                <w:b w:val="0"/>
                <w:bCs w:val="0"/>
                <w:sz w:val="24"/>
                <w:szCs w:val="24"/>
                <w:lang w:eastAsia="en-IN"/>
              </w:rPr>
              <w:t>30 minute interview with teammate</w:t>
            </w:r>
          </w:p>
          <w:p w14:paraId="7D661205">
            <w:pPr>
              <w:numPr>
                <w:numId w:val="0"/>
              </w:numPr>
              <w:bidi w:val="0"/>
              <w:spacing w:before="30" w:after="30"/>
              <w:jc w:val="left"/>
              <w:rPr>
                <w:rFonts w:hint="default" w:asciiTheme="minorAscii" w:hAnsiTheme="minorAscii"/>
                <w:b w:val="0"/>
                <w:bCs w:val="0"/>
                <w:sz w:val="24"/>
                <w:szCs w:val="24"/>
                <w:lang w:eastAsia="en-IN"/>
              </w:rPr>
            </w:pPr>
          </w:p>
          <w:p w14:paraId="45C8789B">
            <w:pPr>
              <w:numPr>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02/18/2025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377E741E"/>
    <w:multiLevelType w:val="singleLevel"/>
    <w:tmpl w:val="377E741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15</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2025-02-18T21:31:11Z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62C3F8AD46F44AEBBBDBB521361D0E3F_13</vt:lpwstr>
  </property>
</Properties>
</file>